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33357" w14:paraId="14AC44EB" w14:textId="77777777">
        <w:tblPrEx>
          <w:tblCellMar>
            <w:top w:w="0" w:type="dxa"/>
            <w:bottom w:w="0" w:type="dxa"/>
          </w:tblCellMar>
        </w:tblPrEx>
        <w:trPr>
          <w:tblCellSpacing w:w="60" w:type="dxa"/>
        </w:trPr>
        <w:tc>
          <w:tcPr>
            <w:tcW w:w="1200" w:type="pct"/>
            <w:shd w:val="clear" w:color="auto" w:fill="E7F0F9"/>
          </w:tcPr>
          <w:p w14:paraId="245AD82C" w14:textId="77777777" w:rsidR="00C33357" w:rsidRDefault="00000000">
            <w:pPr>
              <w:spacing w:after="0" w:line="240" w:lineRule="auto"/>
            </w:pPr>
            <w:r>
              <w:rPr>
                <w:b/>
              </w:rPr>
              <w:t>RKP broj</w:t>
            </w:r>
          </w:p>
        </w:tc>
        <w:tc>
          <w:tcPr>
            <w:tcW w:w="0" w:type="auto"/>
            <w:shd w:val="clear" w:color="auto" w:fill="E7F0F9"/>
          </w:tcPr>
          <w:p w14:paraId="4C23CE40" w14:textId="77777777" w:rsidR="00C33357" w:rsidRDefault="00000000">
            <w:pPr>
              <w:spacing w:after="0" w:line="240" w:lineRule="auto"/>
            </w:pPr>
            <w:r>
              <w:t>14195</w:t>
            </w:r>
          </w:p>
        </w:tc>
      </w:tr>
      <w:tr w:rsidR="00C33357" w14:paraId="2164812C" w14:textId="77777777">
        <w:tblPrEx>
          <w:tblCellMar>
            <w:top w:w="0" w:type="dxa"/>
            <w:bottom w:w="0" w:type="dxa"/>
          </w:tblCellMar>
        </w:tblPrEx>
        <w:trPr>
          <w:tblCellSpacing w:w="60" w:type="dxa"/>
        </w:trPr>
        <w:tc>
          <w:tcPr>
            <w:tcW w:w="1200" w:type="pct"/>
            <w:shd w:val="clear" w:color="auto" w:fill="E7F0F9"/>
          </w:tcPr>
          <w:p w14:paraId="2FDCB2C7" w14:textId="77777777" w:rsidR="00C33357" w:rsidRDefault="00000000">
            <w:pPr>
              <w:spacing w:after="0" w:line="240" w:lineRule="auto"/>
            </w:pPr>
            <w:r>
              <w:rPr>
                <w:b/>
              </w:rPr>
              <w:t>Naziv obveznika</w:t>
            </w:r>
          </w:p>
        </w:tc>
        <w:tc>
          <w:tcPr>
            <w:tcW w:w="0" w:type="auto"/>
            <w:shd w:val="clear" w:color="auto" w:fill="E7F0F9"/>
          </w:tcPr>
          <w:p w14:paraId="40C35A1A" w14:textId="77777777" w:rsidR="00C33357" w:rsidRDefault="00000000">
            <w:pPr>
              <w:spacing w:after="0" w:line="240" w:lineRule="auto"/>
            </w:pPr>
            <w:r>
              <w:t>CENTAR ZA ODGOJ I OBRAZOVANJE TOMISLAV ŠPOLJAR, VARAŽDIN</w:t>
            </w:r>
          </w:p>
        </w:tc>
      </w:tr>
      <w:tr w:rsidR="00C33357" w14:paraId="7C01E502" w14:textId="77777777">
        <w:tblPrEx>
          <w:tblCellMar>
            <w:top w:w="0" w:type="dxa"/>
            <w:bottom w:w="0" w:type="dxa"/>
          </w:tblCellMar>
        </w:tblPrEx>
        <w:trPr>
          <w:tblCellSpacing w:w="60" w:type="dxa"/>
        </w:trPr>
        <w:tc>
          <w:tcPr>
            <w:tcW w:w="1200" w:type="pct"/>
            <w:shd w:val="clear" w:color="auto" w:fill="E7F0F9"/>
          </w:tcPr>
          <w:p w14:paraId="27BC33C7" w14:textId="77777777" w:rsidR="00C33357" w:rsidRDefault="00000000">
            <w:pPr>
              <w:spacing w:after="0" w:line="240" w:lineRule="auto"/>
            </w:pPr>
            <w:r>
              <w:rPr>
                <w:b/>
              </w:rPr>
              <w:t>Razina</w:t>
            </w:r>
          </w:p>
        </w:tc>
        <w:tc>
          <w:tcPr>
            <w:tcW w:w="0" w:type="auto"/>
            <w:shd w:val="clear" w:color="auto" w:fill="E7F0F9"/>
          </w:tcPr>
          <w:p w14:paraId="7A1B1502" w14:textId="77777777" w:rsidR="00C33357" w:rsidRDefault="00000000">
            <w:pPr>
              <w:spacing w:after="0" w:line="240" w:lineRule="auto"/>
            </w:pPr>
            <w:r>
              <w:t>31</w:t>
            </w:r>
          </w:p>
        </w:tc>
      </w:tr>
    </w:tbl>
    <w:p w14:paraId="6FBB8485" w14:textId="77777777" w:rsidR="00C33357" w:rsidRDefault="00000000">
      <w:r>
        <w:br/>
      </w:r>
    </w:p>
    <w:p w14:paraId="07D7D9D5" w14:textId="77777777" w:rsidR="00C33357" w:rsidRDefault="00000000">
      <w:pPr>
        <w:spacing w:line="240" w:lineRule="auto"/>
        <w:jc w:val="center"/>
      </w:pPr>
      <w:r>
        <w:rPr>
          <w:b/>
          <w:sz w:val="28"/>
        </w:rPr>
        <w:t>BILJEŠKE UZ FINANCIJSKE IZVJEŠTAJE</w:t>
      </w:r>
    </w:p>
    <w:p w14:paraId="7ECC6910" w14:textId="77777777" w:rsidR="00C33357" w:rsidRDefault="00000000">
      <w:pPr>
        <w:spacing w:line="240" w:lineRule="auto"/>
        <w:jc w:val="center"/>
      </w:pPr>
      <w:r>
        <w:rPr>
          <w:b/>
          <w:sz w:val="28"/>
        </w:rPr>
        <w:t>ZA RAZDOBLJE</w:t>
      </w:r>
    </w:p>
    <w:p w14:paraId="02E77CDC" w14:textId="77777777" w:rsidR="00C33357" w:rsidRDefault="00000000">
      <w:pPr>
        <w:spacing w:line="240" w:lineRule="auto"/>
        <w:jc w:val="center"/>
      </w:pPr>
      <w:r>
        <w:rPr>
          <w:b/>
          <w:sz w:val="28"/>
        </w:rPr>
        <w:t>I - VI 2025.</w:t>
      </w:r>
    </w:p>
    <w:p w14:paraId="05ADA2B9" w14:textId="77777777" w:rsidR="00C33357" w:rsidRDefault="00C33357"/>
    <w:p w14:paraId="7148396C" w14:textId="77777777" w:rsidR="00C33357" w:rsidRDefault="00000000">
      <w:pPr>
        <w:keepNext/>
        <w:spacing w:line="240" w:lineRule="auto"/>
        <w:jc w:val="center"/>
      </w:pPr>
      <w:r>
        <w:rPr>
          <w:b/>
          <w:sz w:val="28"/>
        </w:rPr>
        <w:t>Izvještaj o prihodima i rashodima, primicima i izdacima</w:t>
      </w:r>
    </w:p>
    <w:p w14:paraId="7ACFC721" w14:textId="77777777" w:rsidR="00C3335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E9163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172511"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F5BC30"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1746D"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C3E28"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896617"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1E46DD" w14:textId="77777777" w:rsidR="00C33357" w:rsidRDefault="00000000">
            <w:pPr>
              <w:keepNext/>
              <w:keepLines/>
              <w:spacing w:after="0" w:line="240" w:lineRule="auto"/>
              <w:jc w:val="center"/>
            </w:pPr>
            <w:r>
              <w:rPr>
                <w:b/>
                <w:sz w:val="18"/>
              </w:rPr>
              <w:t>Indeks (%)</w:t>
            </w:r>
          </w:p>
        </w:tc>
      </w:tr>
      <w:tr w:rsidR="00C33357" w14:paraId="536458EF" w14:textId="77777777">
        <w:tblPrEx>
          <w:tblCellMar>
            <w:top w:w="0" w:type="dxa"/>
            <w:bottom w:w="0" w:type="dxa"/>
          </w:tblCellMar>
        </w:tblPrEx>
        <w:trPr>
          <w:cantSplit/>
          <w:trHeight w:val="560"/>
        </w:trPr>
        <w:tc>
          <w:tcPr>
            <w:tcW w:w="700" w:type="dxa"/>
            <w:tcMar>
              <w:top w:w="0" w:type="dxa"/>
              <w:bottom w:w="0" w:type="dxa"/>
            </w:tcMar>
            <w:vAlign w:val="center"/>
          </w:tcPr>
          <w:p w14:paraId="5A979057" w14:textId="77777777" w:rsidR="00C33357" w:rsidRDefault="00000000">
            <w:pPr>
              <w:keepNext/>
              <w:keepLines/>
              <w:spacing w:after="0" w:line="240" w:lineRule="auto"/>
            </w:pPr>
            <w:r>
              <w:rPr>
                <w:sz w:val="18"/>
              </w:rPr>
              <w:t>6</w:t>
            </w:r>
          </w:p>
        </w:tc>
        <w:tc>
          <w:tcPr>
            <w:tcW w:w="3180" w:type="dxa"/>
            <w:tcMar>
              <w:top w:w="0" w:type="dxa"/>
              <w:bottom w:w="0" w:type="dxa"/>
            </w:tcMar>
            <w:vAlign w:val="center"/>
          </w:tcPr>
          <w:p w14:paraId="03893A58" w14:textId="77777777" w:rsidR="00C3335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28FE230" w14:textId="77777777" w:rsidR="00C33357" w:rsidRDefault="00000000">
            <w:pPr>
              <w:keepNext/>
              <w:keepLines/>
              <w:spacing w:after="0" w:line="240" w:lineRule="auto"/>
            </w:pPr>
            <w:r>
              <w:rPr>
                <w:sz w:val="18"/>
              </w:rPr>
              <w:t>6</w:t>
            </w:r>
          </w:p>
        </w:tc>
        <w:tc>
          <w:tcPr>
            <w:tcW w:w="1860" w:type="dxa"/>
            <w:tcMar>
              <w:top w:w="0" w:type="dxa"/>
              <w:bottom w:w="0" w:type="dxa"/>
            </w:tcMar>
            <w:vAlign w:val="center"/>
          </w:tcPr>
          <w:p w14:paraId="24E52953" w14:textId="77777777" w:rsidR="00C33357" w:rsidRDefault="00000000">
            <w:pPr>
              <w:keepNext/>
              <w:keepLines/>
              <w:spacing w:after="0" w:line="240" w:lineRule="auto"/>
              <w:jc w:val="right"/>
            </w:pPr>
            <w:r>
              <w:rPr>
                <w:sz w:val="18"/>
              </w:rPr>
              <w:t>1.347.688,25</w:t>
            </w:r>
          </w:p>
        </w:tc>
        <w:tc>
          <w:tcPr>
            <w:tcW w:w="1860" w:type="dxa"/>
            <w:tcMar>
              <w:top w:w="0" w:type="dxa"/>
              <w:bottom w:w="0" w:type="dxa"/>
            </w:tcMar>
            <w:vAlign w:val="center"/>
          </w:tcPr>
          <w:p w14:paraId="066F1F7C" w14:textId="77777777" w:rsidR="00C33357" w:rsidRDefault="00000000">
            <w:pPr>
              <w:keepNext/>
              <w:keepLines/>
              <w:spacing w:after="0" w:line="240" w:lineRule="auto"/>
              <w:jc w:val="right"/>
            </w:pPr>
            <w:r>
              <w:rPr>
                <w:sz w:val="18"/>
              </w:rPr>
              <w:t>1.327.971,11</w:t>
            </w:r>
          </w:p>
        </w:tc>
        <w:tc>
          <w:tcPr>
            <w:tcW w:w="700" w:type="dxa"/>
            <w:tcMar>
              <w:top w:w="0" w:type="dxa"/>
              <w:bottom w:w="0" w:type="dxa"/>
            </w:tcMar>
            <w:vAlign w:val="center"/>
          </w:tcPr>
          <w:p w14:paraId="701792B7" w14:textId="77777777" w:rsidR="00C33357" w:rsidRDefault="00000000">
            <w:pPr>
              <w:keepNext/>
              <w:keepLines/>
              <w:spacing w:after="0" w:line="240" w:lineRule="auto"/>
              <w:jc w:val="right"/>
            </w:pPr>
            <w:r>
              <w:rPr>
                <w:sz w:val="18"/>
              </w:rPr>
              <w:t>98,5</w:t>
            </w:r>
          </w:p>
        </w:tc>
      </w:tr>
      <w:tr w:rsidR="00C33357" w14:paraId="227490CE" w14:textId="77777777">
        <w:tblPrEx>
          <w:tblCellMar>
            <w:top w:w="0" w:type="dxa"/>
            <w:bottom w:w="0" w:type="dxa"/>
          </w:tblCellMar>
        </w:tblPrEx>
        <w:trPr>
          <w:cantSplit/>
          <w:trHeight w:val="560"/>
        </w:trPr>
        <w:tc>
          <w:tcPr>
            <w:tcW w:w="700" w:type="dxa"/>
            <w:tcMar>
              <w:top w:w="0" w:type="dxa"/>
              <w:bottom w:w="0" w:type="dxa"/>
            </w:tcMar>
            <w:vAlign w:val="center"/>
          </w:tcPr>
          <w:p w14:paraId="4BB4BCBD" w14:textId="77777777" w:rsidR="00C33357" w:rsidRDefault="00000000">
            <w:pPr>
              <w:keepNext/>
              <w:keepLines/>
              <w:spacing w:after="0" w:line="240" w:lineRule="auto"/>
            </w:pPr>
            <w:r>
              <w:rPr>
                <w:sz w:val="18"/>
              </w:rPr>
              <w:t>3</w:t>
            </w:r>
          </w:p>
        </w:tc>
        <w:tc>
          <w:tcPr>
            <w:tcW w:w="3180" w:type="dxa"/>
            <w:tcMar>
              <w:top w:w="0" w:type="dxa"/>
              <w:bottom w:w="0" w:type="dxa"/>
            </w:tcMar>
            <w:vAlign w:val="center"/>
          </w:tcPr>
          <w:p w14:paraId="6FB9786C" w14:textId="77777777" w:rsidR="00C3335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94DB84D" w14:textId="77777777" w:rsidR="00C33357" w:rsidRDefault="00000000">
            <w:pPr>
              <w:keepNext/>
              <w:keepLines/>
              <w:spacing w:after="0" w:line="240" w:lineRule="auto"/>
            </w:pPr>
            <w:r>
              <w:rPr>
                <w:sz w:val="18"/>
              </w:rPr>
              <w:t>3</w:t>
            </w:r>
          </w:p>
        </w:tc>
        <w:tc>
          <w:tcPr>
            <w:tcW w:w="1860" w:type="dxa"/>
            <w:tcMar>
              <w:top w:w="0" w:type="dxa"/>
              <w:bottom w:w="0" w:type="dxa"/>
            </w:tcMar>
            <w:vAlign w:val="center"/>
          </w:tcPr>
          <w:p w14:paraId="75A43F8E" w14:textId="77777777" w:rsidR="00C33357" w:rsidRDefault="00000000">
            <w:pPr>
              <w:keepNext/>
              <w:keepLines/>
              <w:spacing w:after="0" w:line="240" w:lineRule="auto"/>
              <w:jc w:val="right"/>
            </w:pPr>
            <w:r>
              <w:rPr>
                <w:sz w:val="18"/>
              </w:rPr>
              <w:t>1.200.639,85</w:t>
            </w:r>
          </w:p>
        </w:tc>
        <w:tc>
          <w:tcPr>
            <w:tcW w:w="1860" w:type="dxa"/>
            <w:tcMar>
              <w:top w:w="0" w:type="dxa"/>
              <w:bottom w:w="0" w:type="dxa"/>
            </w:tcMar>
            <w:vAlign w:val="center"/>
          </w:tcPr>
          <w:p w14:paraId="392725C5" w14:textId="77777777" w:rsidR="00C33357" w:rsidRDefault="00000000">
            <w:pPr>
              <w:keepNext/>
              <w:keepLines/>
              <w:spacing w:after="0" w:line="240" w:lineRule="auto"/>
              <w:jc w:val="right"/>
            </w:pPr>
            <w:r>
              <w:rPr>
                <w:sz w:val="18"/>
              </w:rPr>
              <w:t>1.471.975,67</w:t>
            </w:r>
          </w:p>
        </w:tc>
        <w:tc>
          <w:tcPr>
            <w:tcW w:w="700" w:type="dxa"/>
            <w:tcMar>
              <w:top w:w="0" w:type="dxa"/>
              <w:bottom w:w="0" w:type="dxa"/>
            </w:tcMar>
            <w:vAlign w:val="center"/>
          </w:tcPr>
          <w:p w14:paraId="2DE0C1B9" w14:textId="77777777" w:rsidR="00C33357" w:rsidRDefault="00000000">
            <w:pPr>
              <w:keepNext/>
              <w:keepLines/>
              <w:spacing w:after="0" w:line="240" w:lineRule="auto"/>
              <w:jc w:val="right"/>
            </w:pPr>
            <w:r>
              <w:rPr>
                <w:sz w:val="18"/>
              </w:rPr>
              <w:t>122,6</w:t>
            </w:r>
          </w:p>
        </w:tc>
      </w:tr>
      <w:tr w:rsidR="00C33357" w14:paraId="4EE05F8D" w14:textId="77777777">
        <w:tblPrEx>
          <w:tblCellMar>
            <w:top w:w="0" w:type="dxa"/>
            <w:bottom w:w="0" w:type="dxa"/>
          </w:tblCellMar>
        </w:tblPrEx>
        <w:trPr>
          <w:cantSplit/>
          <w:trHeight w:val="560"/>
        </w:trPr>
        <w:tc>
          <w:tcPr>
            <w:tcW w:w="700" w:type="dxa"/>
            <w:tcMar>
              <w:top w:w="0" w:type="dxa"/>
              <w:bottom w:w="0" w:type="dxa"/>
            </w:tcMar>
            <w:vAlign w:val="center"/>
          </w:tcPr>
          <w:p w14:paraId="6CE3E3F5" w14:textId="77777777" w:rsidR="00C33357" w:rsidRDefault="00C33357">
            <w:pPr>
              <w:keepNext/>
              <w:keepLines/>
              <w:spacing w:after="0" w:line="240" w:lineRule="auto"/>
            </w:pPr>
          </w:p>
        </w:tc>
        <w:tc>
          <w:tcPr>
            <w:tcW w:w="3180" w:type="dxa"/>
            <w:tcMar>
              <w:top w:w="0" w:type="dxa"/>
              <w:bottom w:w="0" w:type="dxa"/>
            </w:tcMar>
            <w:vAlign w:val="center"/>
          </w:tcPr>
          <w:p w14:paraId="7DAD25E3" w14:textId="77777777" w:rsidR="00C33357"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76936747" w14:textId="77777777" w:rsidR="00C33357" w:rsidRDefault="00000000">
            <w:pPr>
              <w:keepNext/>
              <w:keepLines/>
              <w:spacing w:after="0" w:line="240" w:lineRule="auto"/>
            </w:pPr>
            <w:r>
              <w:rPr>
                <w:b/>
                <w:sz w:val="18"/>
              </w:rPr>
              <w:t>Y001</w:t>
            </w:r>
          </w:p>
        </w:tc>
        <w:tc>
          <w:tcPr>
            <w:tcW w:w="1860" w:type="dxa"/>
            <w:tcMar>
              <w:top w:w="0" w:type="dxa"/>
              <w:bottom w:w="0" w:type="dxa"/>
            </w:tcMar>
            <w:vAlign w:val="center"/>
          </w:tcPr>
          <w:p w14:paraId="0FEE0BB4" w14:textId="77777777" w:rsidR="00C33357" w:rsidRDefault="00000000">
            <w:pPr>
              <w:keepNext/>
              <w:keepLines/>
              <w:spacing w:after="0" w:line="240" w:lineRule="auto"/>
              <w:jc w:val="right"/>
            </w:pPr>
            <w:r>
              <w:rPr>
                <w:b/>
                <w:sz w:val="18"/>
              </w:rPr>
              <w:t>0,00</w:t>
            </w:r>
          </w:p>
        </w:tc>
        <w:tc>
          <w:tcPr>
            <w:tcW w:w="1860" w:type="dxa"/>
            <w:tcMar>
              <w:top w:w="0" w:type="dxa"/>
              <w:bottom w:w="0" w:type="dxa"/>
            </w:tcMar>
            <w:vAlign w:val="center"/>
          </w:tcPr>
          <w:p w14:paraId="3A43A413" w14:textId="77777777" w:rsidR="00C33357" w:rsidRDefault="00000000">
            <w:pPr>
              <w:keepNext/>
              <w:keepLines/>
              <w:spacing w:after="0" w:line="240" w:lineRule="auto"/>
              <w:jc w:val="right"/>
            </w:pPr>
            <w:r>
              <w:rPr>
                <w:b/>
                <w:sz w:val="18"/>
              </w:rPr>
              <w:t>144.004,56</w:t>
            </w:r>
          </w:p>
        </w:tc>
        <w:tc>
          <w:tcPr>
            <w:tcW w:w="700" w:type="dxa"/>
            <w:tcMar>
              <w:top w:w="0" w:type="dxa"/>
              <w:bottom w:w="0" w:type="dxa"/>
            </w:tcMar>
            <w:vAlign w:val="center"/>
          </w:tcPr>
          <w:p w14:paraId="4FFA42C5" w14:textId="77777777" w:rsidR="00C33357" w:rsidRDefault="00000000">
            <w:pPr>
              <w:keepNext/>
              <w:keepLines/>
              <w:spacing w:after="0" w:line="240" w:lineRule="auto"/>
              <w:jc w:val="right"/>
            </w:pPr>
            <w:r>
              <w:rPr>
                <w:b/>
                <w:sz w:val="18"/>
              </w:rPr>
              <w:t>-</w:t>
            </w:r>
          </w:p>
        </w:tc>
      </w:tr>
      <w:tr w:rsidR="00C33357" w14:paraId="7B8C9F09" w14:textId="77777777">
        <w:tblPrEx>
          <w:tblCellMar>
            <w:top w:w="0" w:type="dxa"/>
            <w:bottom w:w="0" w:type="dxa"/>
          </w:tblCellMar>
        </w:tblPrEx>
        <w:trPr>
          <w:cantSplit/>
          <w:trHeight w:val="560"/>
        </w:trPr>
        <w:tc>
          <w:tcPr>
            <w:tcW w:w="700" w:type="dxa"/>
            <w:tcMar>
              <w:top w:w="0" w:type="dxa"/>
              <w:bottom w:w="0" w:type="dxa"/>
            </w:tcMar>
            <w:vAlign w:val="center"/>
          </w:tcPr>
          <w:p w14:paraId="10BE71DA" w14:textId="77777777" w:rsidR="00C33357" w:rsidRDefault="00000000">
            <w:pPr>
              <w:keepNext/>
              <w:keepLines/>
              <w:spacing w:after="0" w:line="240" w:lineRule="auto"/>
            </w:pPr>
            <w:r>
              <w:rPr>
                <w:sz w:val="18"/>
              </w:rPr>
              <w:t>7</w:t>
            </w:r>
          </w:p>
        </w:tc>
        <w:tc>
          <w:tcPr>
            <w:tcW w:w="3180" w:type="dxa"/>
            <w:tcMar>
              <w:top w:w="0" w:type="dxa"/>
              <w:bottom w:w="0" w:type="dxa"/>
            </w:tcMar>
            <w:vAlign w:val="center"/>
          </w:tcPr>
          <w:p w14:paraId="75227290" w14:textId="77777777" w:rsidR="00C3335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591EB42" w14:textId="77777777" w:rsidR="00C33357" w:rsidRDefault="00000000">
            <w:pPr>
              <w:keepNext/>
              <w:keepLines/>
              <w:spacing w:after="0" w:line="240" w:lineRule="auto"/>
            </w:pPr>
            <w:r>
              <w:rPr>
                <w:sz w:val="18"/>
              </w:rPr>
              <w:t>7</w:t>
            </w:r>
          </w:p>
        </w:tc>
        <w:tc>
          <w:tcPr>
            <w:tcW w:w="1860" w:type="dxa"/>
            <w:tcMar>
              <w:top w:w="0" w:type="dxa"/>
              <w:bottom w:w="0" w:type="dxa"/>
            </w:tcMar>
            <w:vAlign w:val="center"/>
          </w:tcPr>
          <w:p w14:paraId="09FB2104" w14:textId="77777777" w:rsidR="00C33357" w:rsidRDefault="00000000">
            <w:pPr>
              <w:keepNext/>
              <w:keepLines/>
              <w:spacing w:after="0" w:line="240" w:lineRule="auto"/>
              <w:jc w:val="right"/>
            </w:pPr>
            <w:r>
              <w:rPr>
                <w:sz w:val="18"/>
              </w:rPr>
              <w:t>0,00</w:t>
            </w:r>
          </w:p>
        </w:tc>
        <w:tc>
          <w:tcPr>
            <w:tcW w:w="1860" w:type="dxa"/>
            <w:tcMar>
              <w:top w:w="0" w:type="dxa"/>
              <w:bottom w:w="0" w:type="dxa"/>
            </w:tcMar>
            <w:vAlign w:val="center"/>
          </w:tcPr>
          <w:p w14:paraId="022E485C" w14:textId="77777777" w:rsidR="00C33357" w:rsidRDefault="00000000">
            <w:pPr>
              <w:keepNext/>
              <w:keepLines/>
              <w:spacing w:after="0" w:line="240" w:lineRule="auto"/>
              <w:jc w:val="right"/>
            </w:pPr>
            <w:r>
              <w:rPr>
                <w:sz w:val="18"/>
              </w:rPr>
              <w:t>0,00</w:t>
            </w:r>
          </w:p>
        </w:tc>
        <w:tc>
          <w:tcPr>
            <w:tcW w:w="700" w:type="dxa"/>
            <w:tcMar>
              <w:top w:w="0" w:type="dxa"/>
              <w:bottom w:w="0" w:type="dxa"/>
            </w:tcMar>
            <w:vAlign w:val="center"/>
          </w:tcPr>
          <w:p w14:paraId="449AA3D9" w14:textId="77777777" w:rsidR="00C33357" w:rsidRDefault="00000000">
            <w:pPr>
              <w:keepNext/>
              <w:keepLines/>
              <w:spacing w:after="0" w:line="240" w:lineRule="auto"/>
              <w:jc w:val="right"/>
            </w:pPr>
            <w:r>
              <w:rPr>
                <w:sz w:val="18"/>
              </w:rPr>
              <w:t>-</w:t>
            </w:r>
          </w:p>
        </w:tc>
      </w:tr>
      <w:tr w:rsidR="00C33357" w14:paraId="11FEED23" w14:textId="77777777">
        <w:tblPrEx>
          <w:tblCellMar>
            <w:top w:w="0" w:type="dxa"/>
            <w:bottom w:w="0" w:type="dxa"/>
          </w:tblCellMar>
        </w:tblPrEx>
        <w:trPr>
          <w:cantSplit/>
          <w:trHeight w:val="560"/>
        </w:trPr>
        <w:tc>
          <w:tcPr>
            <w:tcW w:w="700" w:type="dxa"/>
            <w:tcMar>
              <w:top w:w="0" w:type="dxa"/>
              <w:bottom w:w="0" w:type="dxa"/>
            </w:tcMar>
            <w:vAlign w:val="center"/>
          </w:tcPr>
          <w:p w14:paraId="5CBE1FFE" w14:textId="77777777" w:rsidR="00C33357" w:rsidRDefault="00000000">
            <w:pPr>
              <w:keepNext/>
              <w:keepLines/>
              <w:spacing w:after="0" w:line="240" w:lineRule="auto"/>
            </w:pPr>
            <w:r>
              <w:rPr>
                <w:sz w:val="18"/>
              </w:rPr>
              <w:t>4</w:t>
            </w:r>
          </w:p>
        </w:tc>
        <w:tc>
          <w:tcPr>
            <w:tcW w:w="3180" w:type="dxa"/>
            <w:tcMar>
              <w:top w:w="0" w:type="dxa"/>
              <w:bottom w:w="0" w:type="dxa"/>
            </w:tcMar>
            <w:vAlign w:val="center"/>
          </w:tcPr>
          <w:p w14:paraId="04DE39B4" w14:textId="77777777" w:rsidR="00C3335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C586D7B" w14:textId="77777777" w:rsidR="00C33357" w:rsidRDefault="00000000">
            <w:pPr>
              <w:keepNext/>
              <w:keepLines/>
              <w:spacing w:after="0" w:line="240" w:lineRule="auto"/>
            </w:pPr>
            <w:r>
              <w:rPr>
                <w:sz w:val="18"/>
              </w:rPr>
              <w:t>4</w:t>
            </w:r>
          </w:p>
        </w:tc>
        <w:tc>
          <w:tcPr>
            <w:tcW w:w="1860" w:type="dxa"/>
            <w:tcMar>
              <w:top w:w="0" w:type="dxa"/>
              <w:bottom w:w="0" w:type="dxa"/>
            </w:tcMar>
            <w:vAlign w:val="center"/>
          </w:tcPr>
          <w:p w14:paraId="476CDF46" w14:textId="77777777" w:rsidR="00C33357" w:rsidRDefault="00000000">
            <w:pPr>
              <w:keepNext/>
              <w:keepLines/>
              <w:spacing w:after="0" w:line="240" w:lineRule="auto"/>
              <w:jc w:val="right"/>
            </w:pPr>
            <w:r>
              <w:rPr>
                <w:sz w:val="18"/>
              </w:rPr>
              <w:t>138.472,57</w:t>
            </w:r>
          </w:p>
        </w:tc>
        <w:tc>
          <w:tcPr>
            <w:tcW w:w="1860" w:type="dxa"/>
            <w:tcMar>
              <w:top w:w="0" w:type="dxa"/>
              <w:bottom w:w="0" w:type="dxa"/>
            </w:tcMar>
            <w:vAlign w:val="center"/>
          </w:tcPr>
          <w:p w14:paraId="36BE673B" w14:textId="77777777" w:rsidR="00C33357" w:rsidRDefault="00000000">
            <w:pPr>
              <w:keepNext/>
              <w:keepLines/>
              <w:spacing w:after="0" w:line="240" w:lineRule="auto"/>
              <w:jc w:val="right"/>
            </w:pPr>
            <w:r>
              <w:rPr>
                <w:sz w:val="18"/>
              </w:rPr>
              <w:t>11.738,28</w:t>
            </w:r>
          </w:p>
        </w:tc>
        <w:tc>
          <w:tcPr>
            <w:tcW w:w="700" w:type="dxa"/>
            <w:tcMar>
              <w:top w:w="0" w:type="dxa"/>
              <w:bottom w:w="0" w:type="dxa"/>
            </w:tcMar>
            <w:vAlign w:val="center"/>
          </w:tcPr>
          <w:p w14:paraId="418B245D" w14:textId="77777777" w:rsidR="00C33357" w:rsidRDefault="00000000">
            <w:pPr>
              <w:keepNext/>
              <w:keepLines/>
              <w:spacing w:after="0" w:line="240" w:lineRule="auto"/>
              <w:jc w:val="right"/>
            </w:pPr>
            <w:r>
              <w:rPr>
                <w:sz w:val="18"/>
              </w:rPr>
              <w:t>8,5</w:t>
            </w:r>
          </w:p>
        </w:tc>
      </w:tr>
      <w:tr w:rsidR="00C33357" w14:paraId="1BE98E9E" w14:textId="77777777">
        <w:tblPrEx>
          <w:tblCellMar>
            <w:top w:w="0" w:type="dxa"/>
            <w:bottom w:w="0" w:type="dxa"/>
          </w:tblCellMar>
        </w:tblPrEx>
        <w:trPr>
          <w:cantSplit/>
          <w:trHeight w:val="560"/>
        </w:trPr>
        <w:tc>
          <w:tcPr>
            <w:tcW w:w="700" w:type="dxa"/>
            <w:tcMar>
              <w:top w:w="0" w:type="dxa"/>
              <w:bottom w:w="0" w:type="dxa"/>
            </w:tcMar>
            <w:vAlign w:val="center"/>
          </w:tcPr>
          <w:p w14:paraId="7BDC1A06" w14:textId="77777777" w:rsidR="00C33357" w:rsidRDefault="00C33357">
            <w:pPr>
              <w:keepNext/>
              <w:keepLines/>
              <w:spacing w:after="0" w:line="240" w:lineRule="auto"/>
            </w:pPr>
          </w:p>
        </w:tc>
        <w:tc>
          <w:tcPr>
            <w:tcW w:w="3180" w:type="dxa"/>
            <w:tcMar>
              <w:top w:w="0" w:type="dxa"/>
              <w:bottom w:w="0" w:type="dxa"/>
            </w:tcMar>
            <w:vAlign w:val="center"/>
          </w:tcPr>
          <w:p w14:paraId="45DF4EDE" w14:textId="77777777" w:rsidR="00C3335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2E169B3" w14:textId="77777777" w:rsidR="00C33357" w:rsidRDefault="00000000">
            <w:pPr>
              <w:keepNext/>
              <w:keepLines/>
              <w:spacing w:after="0" w:line="240" w:lineRule="auto"/>
            </w:pPr>
            <w:r>
              <w:rPr>
                <w:b/>
                <w:sz w:val="18"/>
              </w:rPr>
              <w:t>Y002</w:t>
            </w:r>
          </w:p>
        </w:tc>
        <w:tc>
          <w:tcPr>
            <w:tcW w:w="1860" w:type="dxa"/>
            <w:tcMar>
              <w:top w:w="0" w:type="dxa"/>
              <w:bottom w:w="0" w:type="dxa"/>
            </w:tcMar>
            <w:vAlign w:val="center"/>
          </w:tcPr>
          <w:p w14:paraId="3CA0C3B5" w14:textId="77777777" w:rsidR="00C33357" w:rsidRDefault="00000000">
            <w:pPr>
              <w:keepNext/>
              <w:keepLines/>
              <w:spacing w:after="0" w:line="240" w:lineRule="auto"/>
              <w:jc w:val="right"/>
            </w:pPr>
            <w:r>
              <w:rPr>
                <w:b/>
                <w:sz w:val="18"/>
              </w:rPr>
              <w:t>138.472,57</w:t>
            </w:r>
          </w:p>
        </w:tc>
        <w:tc>
          <w:tcPr>
            <w:tcW w:w="1860" w:type="dxa"/>
            <w:tcMar>
              <w:top w:w="0" w:type="dxa"/>
              <w:bottom w:w="0" w:type="dxa"/>
            </w:tcMar>
            <w:vAlign w:val="center"/>
          </w:tcPr>
          <w:p w14:paraId="7E80BBC2" w14:textId="77777777" w:rsidR="00C33357" w:rsidRDefault="00000000">
            <w:pPr>
              <w:keepNext/>
              <w:keepLines/>
              <w:spacing w:after="0" w:line="240" w:lineRule="auto"/>
              <w:jc w:val="right"/>
            </w:pPr>
            <w:r>
              <w:rPr>
                <w:b/>
                <w:sz w:val="18"/>
              </w:rPr>
              <w:t>11.738,28</w:t>
            </w:r>
          </w:p>
        </w:tc>
        <w:tc>
          <w:tcPr>
            <w:tcW w:w="700" w:type="dxa"/>
            <w:tcMar>
              <w:top w:w="0" w:type="dxa"/>
              <w:bottom w:w="0" w:type="dxa"/>
            </w:tcMar>
            <w:vAlign w:val="center"/>
          </w:tcPr>
          <w:p w14:paraId="2BB00CD8" w14:textId="77777777" w:rsidR="00C33357" w:rsidRDefault="00000000">
            <w:pPr>
              <w:keepNext/>
              <w:keepLines/>
              <w:spacing w:after="0" w:line="240" w:lineRule="auto"/>
              <w:jc w:val="right"/>
            </w:pPr>
            <w:r>
              <w:rPr>
                <w:b/>
                <w:sz w:val="18"/>
              </w:rPr>
              <w:t>8,5</w:t>
            </w:r>
          </w:p>
        </w:tc>
      </w:tr>
      <w:tr w:rsidR="00C33357" w14:paraId="3EB662BB" w14:textId="77777777">
        <w:tblPrEx>
          <w:tblCellMar>
            <w:top w:w="0" w:type="dxa"/>
            <w:bottom w:w="0" w:type="dxa"/>
          </w:tblCellMar>
        </w:tblPrEx>
        <w:trPr>
          <w:cantSplit/>
          <w:trHeight w:val="560"/>
        </w:trPr>
        <w:tc>
          <w:tcPr>
            <w:tcW w:w="700" w:type="dxa"/>
            <w:tcMar>
              <w:top w:w="0" w:type="dxa"/>
              <w:bottom w:w="0" w:type="dxa"/>
            </w:tcMar>
            <w:vAlign w:val="center"/>
          </w:tcPr>
          <w:p w14:paraId="6A10F633" w14:textId="77777777" w:rsidR="00C33357" w:rsidRDefault="00000000">
            <w:pPr>
              <w:keepNext/>
              <w:keepLines/>
              <w:spacing w:after="0" w:line="240" w:lineRule="auto"/>
            </w:pPr>
            <w:r>
              <w:rPr>
                <w:sz w:val="18"/>
              </w:rPr>
              <w:t>8</w:t>
            </w:r>
          </w:p>
        </w:tc>
        <w:tc>
          <w:tcPr>
            <w:tcW w:w="3180" w:type="dxa"/>
            <w:tcMar>
              <w:top w:w="0" w:type="dxa"/>
              <w:bottom w:w="0" w:type="dxa"/>
            </w:tcMar>
            <w:vAlign w:val="center"/>
          </w:tcPr>
          <w:p w14:paraId="27C1E236" w14:textId="77777777" w:rsidR="00C3335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41009BB" w14:textId="77777777" w:rsidR="00C33357" w:rsidRDefault="00000000">
            <w:pPr>
              <w:keepNext/>
              <w:keepLines/>
              <w:spacing w:after="0" w:line="240" w:lineRule="auto"/>
            </w:pPr>
            <w:r>
              <w:rPr>
                <w:sz w:val="18"/>
              </w:rPr>
              <w:t>8</w:t>
            </w:r>
          </w:p>
        </w:tc>
        <w:tc>
          <w:tcPr>
            <w:tcW w:w="1860" w:type="dxa"/>
            <w:tcMar>
              <w:top w:w="0" w:type="dxa"/>
              <w:bottom w:w="0" w:type="dxa"/>
            </w:tcMar>
            <w:vAlign w:val="center"/>
          </w:tcPr>
          <w:p w14:paraId="06523C27" w14:textId="77777777" w:rsidR="00C33357" w:rsidRDefault="00000000">
            <w:pPr>
              <w:keepNext/>
              <w:keepLines/>
              <w:spacing w:after="0" w:line="240" w:lineRule="auto"/>
              <w:jc w:val="right"/>
            </w:pPr>
            <w:r>
              <w:rPr>
                <w:sz w:val="18"/>
              </w:rPr>
              <w:t>0,00</w:t>
            </w:r>
          </w:p>
        </w:tc>
        <w:tc>
          <w:tcPr>
            <w:tcW w:w="1860" w:type="dxa"/>
            <w:tcMar>
              <w:top w:w="0" w:type="dxa"/>
              <w:bottom w:w="0" w:type="dxa"/>
            </w:tcMar>
            <w:vAlign w:val="center"/>
          </w:tcPr>
          <w:p w14:paraId="1BDA6941" w14:textId="77777777" w:rsidR="00C33357" w:rsidRDefault="00000000">
            <w:pPr>
              <w:keepNext/>
              <w:keepLines/>
              <w:spacing w:after="0" w:line="240" w:lineRule="auto"/>
              <w:jc w:val="right"/>
            </w:pPr>
            <w:r>
              <w:rPr>
                <w:sz w:val="18"/>
              </w:rPr>
              <w:t>0,00</w:t>
            </w:r>
          </w:p>
        </w:tc>
        <w:tc>
          <w:tcPr>
            <w:tcW w:w="700" w:type="dxa"/>
            <w:tcMar>
              <w:top w:w="0" w:type="dxa"/>
              <w:bottom w:w="0" w:type="dxa"/>
            </w:tcMar>
            <w:vAlign w:val="center"/>
          </w:tcPr>
          <w:p w14:paraId="2504A839" w14:textId="77777777" w:rsidR="00C33357" w:rsidRDefault="00000000">
            <w:pPr>
              <w:keepNext/>
              <w:keepLines/>
              <w:spacing w:after="0" w:line="240" w:lineRule="auto"/>
              <w:jc w:val="right"/>
            </w:pPr>
            <w:r>
              <w:rPr>
                <w:sz w:val="18"/>
              </w:rPr>
              <w:t>-</w:t>
            </w:r>
          </w:p>
        </w:tc>
      </w:tr>
      <w:tr w:rsidR="00C33357" w14:paraId="7D2F4E7B" w14:textId="77777777">
        <w:tblPrEx>
          <w:tblCellMar>
            <w:top w:w="0" w:type="dxa"/>
            <w:bottom w:w="0" w:type="dxa"/>
          </w:tblCellMar>
        </w:tblPrEx>
        <w:trPr>
          <w:cantSplit/>
          <w:trHeight w:val="560"/>
        </w:trPr>
        <w:tc>
          <w:tcPr>
            <w:tcW w:w="700" w:type="dxa"/>
            <w:tcMar>
              <w:top w:w="0" w:type="dxa"/>
              <w:bottom w:w="0" w:type="dxa"/>
            </w:tcMar>
            <w:vAlign w:val="center"/>
          </w:tcPr>
          <w:p w14:paraId="75F67978" w14:textId="77777777" w:rsidR="00C33357" w:rsidRDefault="00000000">
            <w:pPr>
              <w:keepNext/>
              <w:keepLines/>
              <w:spacing w:after="0" w:line="240" w:lineRule="auto"/>
            </w:pPr>
            <w:r>
              <w:rPr>
                <w:sz w:val="18"/>
              </w:rPr>
              <w:t>5</w:t>
            </w:r>
          </w:p>
        </w:tc>
        <w:tc>
          <w:tcPr>
            <w:tcW w:w="3180" w:type="dxa"/>
            <w:tcMar>
              <w:top w:w="0" w:type="dxa"/>
              <w:bottom w:w="0" w:type="dxa"/>
            </w:tcMar>
            <w:vAlign w:val="center"/>
          </w:tcPr>
          <w:p w14:paraId="0B9EF31F" w14:textId="77777777" w:rsidR="00C3335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BE1AFEB" w14:textId="77777777" w:rsidR="00C33357" w:rsidRDefault="00000000">
            <w:pPr>
              <w:keepNext/>
              <w:keepLines/>
              <w:spacing w:after="0" w:line="240" w:lineRule="auto"/>
            </w:pPr>
            <w:r>
              <w:rPr>
                <w:sz w:val="18"/>
              </w:rPr>
              <w:t>5</w:t>
            </w:r>
          </w:p>
        </w:tc>
        <w:tc>
          <w:tcPr>
            <w:tcW w:w="1860" w:type="dxa"/>
            <w:tcMar>
              <w:top w:w="0" w:type="dxa"/>
              <w:bottom w:w="0" w:type="dxa"/>
            </w:tcMar>
            <w:vAlign w:val="center"/>
          </w:tcPr>
          <w:p w14:paraId="4C26CB66" w14:textId="77777777" w:rsidR="00C33357" w:rsidRDefault="00000000">
            <w:pPr>
              <w:keepNext/>
              <w:keepLines/>
              <w:spacing w:after="0" w:line="240" w:lineRule="auto"/>
              <w:jc w:val="right"/>
            </w:pPr>
            <w:r>
              <w:rPr>
                <w:sz w:val="18"/>
              </w:rPr>
              <w:t>0,00</w:t>
            </w:r>
          </w:p>
        </w:tc>
        <w:tc>
          <w:tcPr>
            <w:tcW w:w="1860" w:type="dxa"/>
            <w:tcMar>
              <w:top w:w="0" w:type="dxa"/>
              <w:bottom w:w="0" w:type="dxa"/>
            </w:tcMar>
            <w:vAlign w:val="center"/>
          </w:tcPr>
          <w:p w14:paraId="0755D9CE" w14:textId="77777777" w:rsidR="00C33357" w:rsidRDefault="00000000">
            <w:pPr>
              <w:keepNext/>
              <w:keepLines/>
              <w:spacing w:after="0" w:line="240" w:lineRule="auto"/>
              <w:jc w:val="right"/>
            </w:pPr>
            <w:r>
              <w:rPr>
                <w:sz w:val="18"/>
              </w:rPr>
              <w:t>0,00</w:t>
            </w:r>
          </w:p>
        </w:tc>
        <w:tc>
          <w:tcPr>
            <w:tcW w:w="700" w:type="dxa"/>
            <w:tcMar>
              <w:top w:w="0" w:type="dxa"/>
              <w:bottom w:w="0" w:type="dxa"/>
            </w:tcMar>
            <w:vAlign w:val="center"/>
          </w:tcPr>
          <w:p w14:paraId="03916DD6" w14:textId="77777777" w:rsidR="00C33357" w:rsidRDefault="00000000">
            <w:pPr>
              <w:keepNext/>
              <w:keepLines/>
              <w:spacing w:after="0" w:line="240" w:lineRule="auto"/>
              <w:jc w:val="right"/>
            </w:pPr>
            <w:r>
              <w:rPr>
                <w:sz w:val="18"/>
              </w:rPr>
              <w:t>-</w:t>
            </w:r>
          </w:p>
        </w:tc>
      </w:tr>
      <w:tr w:rsidR="00C33357" w14:paraId="3E0A5626" w14:textId="77777777">
        <w:tblPrEx>
          <w:tblCellMar>
            <w:top w:w="0" w:type="dxa"/>
            <w:bottom w:w="0" w:type="dxa"/>
          </w:tblCellMar>
        </w:tblPrEx>
        <w:trPr>
          <w:cantSplit/>
          <w:trHeight w:val="560"/>
        </w:trPr>
        <w:tc>
          <w:tcPr>
            <w:tcW w:w="700" w:type="dxa"/>
            <w:tcMar>
              <w:top w:w="0" w:type="dxa"/>
              <w:bottom w:w="0" w:type="dxa"/>
            </w:tcMar>
            <w:vAlign w:val="center"/>
          </w:tcPr>
          <w:p w14:paraId="1AE2B72D" w14:textId="77777777" w:rsidR="00C33357" w:rsidRDefault="00C33357">
            <w:pPr>
              <w:keepNext/>
              <w:keepLines/>
              <w:spacing w:after="0" w:line="240" w:lineRule="auto"/>
            </w:pPr>
          </w:p>
        </w:tc>
        <w:tc>
          <w:tcPr>
            <w:tcW w:w="3180" w:type="dxa"/>
            <w:tcMar>
              <w:top w:w="0" w:type="dxa"/>
              <w:bottom w:w="0" w:type="dxa"/>
            </w:tcMar>
            <w:vAlign w:val="center"/>
          </w:tcPr>
          <w:p w14:paraId="069A01CF" w14:textId="77777777" w:rsidR="00C33357"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D44081D" w14:textId="77777777" w:rsidR="00C33357" w:rsidRDefault="00000000">
            <w:pPr>
              <w:keepNext/>
              <w:keepLines/>
              <w:spacing w:after="0" w:line="240" w:lineRule="auto"/>
            </w:pPr>
            <w:r>
              <w:rPr>
                <w:b/>
                <w:sz w:val="18"/>
              </w:rPr>
              <w:t>X003, Y003</w:t>
            </w:r>
          </w:p>
        </w:tc>
        <w:tc>
          <w:tcPr>
            <w:tcW w:w="1860" w:type="dxa"/>
            <w:tcMar>
              <w:top w:w="0" w:type="dxa"/>
              <w:bottom w:w="0" w:type="dxa"/>
            </w:tcMar>
            <w:vAlign w:val="center"/>
          </w:tcPr>
          <w:p w14:paraId="15F816EE" w14:textId="77777777" w:rsidR="00C33357" w:rsidRDefault="00000000">
            <w:pPr>
              <w:keepNext/>
              <w:keepLines/>
              <w:spacing w:after="0" w:line="240" w:lineRule="auto"/>
              <w:jc w:val="right"/>
            </w:pPr>
            <w:r>
              <w:rPr>
                <w:b/>
                <w:sz w:val="18"/>
              </w:rPr>
              <w:t>0,00</w:t>
            </w:r>
          </w:p>
        </w:tc>
        <w:tc>
          <w:tcPr>
            <w:tcW w:w="1860" w:type="dxa"/>
            <w:tcMar>
              <w:top w:w="0" w:type="dxa"/>
              <w:bottom w:w="0" w:type="dxa"/>
            </w:tcMar>
            <w:vAlign w:val="center"/>
          </w:tcPr>
          <w:p w14:paraId="69946C7E" w14:textId="77777777" w:rsidR="00C33357" w:rsidRDefault="00000000">
            <w:pPr>
              <w:keepNext/>
              <w:keepLines/>
              <w:spacing w:after="0" w:line="240" w:lineRule="auto"/>
              <w:jc w:val="right"/>
            </w:pPr>
            <w:r>
              <w:rPr>
                <w:b/>
                <w:sz w:val="18"/>
              </w:rPr>
              <w:t>0,00</w:t>
            </w:r>
          </w:p>
        </w:tc>
        <w:tc>
          <w:tcPr>
            <w:tcW w:w="700" w:type="dxa"/>
            <w:tcMar>
              <w:top w:w="0" w:type="dxa"/>
              <w:bottom w:w="0" w:type="dxa"/>
            </w:tcMar>
            <w:vAlign w:val="center"/>
          </w:tcPr>
          <w:p w14:paraId="7E131B46" w14:textId="77777777" w:rsidR="00C33357" w:rsidRDefault="00000000">
            <w:pPr>
              <w:keepNext/>
              <w:keepLines/>
              <w:spacing w:after="0" w:line="240" w:lineRule="auto"/>
              <w:jc w:val="right"/>
            </w:pPr>
            <w:r>
              <w:rPr>
                <w:b/>
                <w:sz w:val="18"/>
              </w:rPr>
              <w:t>-</w:t>
            </w:r>
          </w:p>
        </w:tc>
      </w:tr>
      <w:tr w:rsidR="00C33357" w14:paraId="145EBE3E" w14:textId="77777777">
        <w:tblPrEx>
          <w:tblCellMar>
            <w:top w:w="0" w:type="dxa"/>
            <w:bottom w:w="0" w:type="dxa"/>
          </w:tblCellMar>
        </w:tblPrEx>
        <w:trPr>
          <w:cantSplit/>
          <w:trHeight w:val="560"/>
        </w:trPr>
        <w:tc>
          <w:tcPr>
            <w:tcW w:w="700" w:type="dxa"/>
            <w:tcMar>
              <w:top w:w="0" w:type="dxa"/>
              <w:bottom w:w="0" w:type="dxa"/>
            </w:tcMar>
            <w:vAlign w:val="center"/>
          </w:tcPr>
          <w:p w14:paraId="2D97C440" w14:textId="77777777" w:rsidR="00C33357" w:rsidRDefault="00C33357">
            <w:pPr>
              <w:keepNext/>
              <w:keepLines/>
              <w:spacing w:after="0" w:line="240" w:lineRule="auto"/>
            </w:pPr>
          </w:p>
        </w:tc>
        <w:tc>
          <w:tcPr>
            <w:tcW w:w="3180" w:type="dxa"/>
            <w:tcMar>
              <w:top w:w="0" w:type="dxa"/>
              <w:bottom w:w="0" w:type="dxa"/>
            </w:tcMar>
            <w:vAlign w:val="center"/>
          </w:tcPr>
          <w:p w14:paraId="325099ED" w14:textId="77777777" w:rsidR="00C3335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92DE84C" w14:textId="77777777" w:rsidR="00C33357" w:rsidRDefault="00000000">
            <w:pPr>
              <w:keepNext/>
              <w:keepLines/>
              <w:spacing w:after="0" w:line="240" w:lineRule="auto"/>
            </w:pPr>
            <w:r>
              <w:rPr>
                <w:b/>
                <w:sz w:val="18"/>
              </w:rPr>
              <w:t>Y005</w:t>
            </w:r>
          </w:p>
        </w:tc>
        <w:tc>
          <w:tcPr>
            <w:tcW w:w="1860" w:type="dxa"/>
            <w:tcMar>
              <w:top w:w="0" w:type="dxa"/>
              <w:bottom w:w="0" w:type="dxa"/>
            </w:tcMar>
            <w:vAlign w:val="center"/>
          </w:tcPr>
          <w:p w14:paraId="51358539" w14:textId="77777777" w:rsidR="00C33357" w:rsidRDefault="00000000">
            <w:pPr>
              <w:keepNext/>
              <w:keepLines/>
              <w:spacing w:after="0" w:line="240" w:lineRule="auto"/>
              <w:jc w:val="right"/>
            </w:pPr>
            <w:r>
              <w:rPr>
                <w:b/>
                <w:sz w:val="18"/>
              </w:rPr>
              <w:t>0,00</w:t>
            </w:r>
          </w:p>
        </w:tc>
        <w:tc>
          <w:tcPr>
            <w:tcW w:w="1860" w:type="dxa"/>
            <w:tcMar>
              <w:top w:w="0" w:type="dxa"/>
              <w:bottom w:w="0" w:type="dxa"/>
            </w:tcMar>
            <w:vAlign w:val="center"/>
          </w:tcPr>
          <w:p w14:paraId="0D44BED7" w14:textId="77777777" w:rsidR="00C33357" w:rsidRDefault="00000000">
            <w:pPr>
              <w:keepNext/>
              <w:keepLines/>
              <w:spacing w:after="0" w:line="240" w:lineRule="auto"/>
              <w:jc w:val="right"/>
            </w:pPr>
            <w:r>
              <w:rPr>
                <w:b/>
                <w:sz w:val="18"/>
              </w:rPr>
              <w:t>155.742,84</w:t>
            </w:r>
          </w:p>
        </w:tc>
        <w:tc>
          <w:tcPr>
            <w:tcW w:w="700" w:type="dxa"/>
            <w:tcMar>
              <w:top w:w="0" w:type="dxa"/>
              <w:bottom w:w="0" w:type="dxa"/>
            </w:tcMar>
            <w:vAlign w:val="center"/>
          </w:tcPr>
          <w:p w14:paraId="2159FD7F" w14:textId="77777777" w:rsidR="00C33357" w:rsidRDefault="00000000">
            <w:pPr>
              <w:keepNext/>
              <w:keepLines/>
              <w:spacing w:after="0" w:line="240" w:lineRule="auto"/>
              <w:jc w:val="right"/>
            </w:pPr>
            <w:r>
              <w:rPr>
                <w:b/>
                <w:sz w:val="18"/>
              </w:rPr>
              <w:t>-</w:t>
            </w:r>
          </w:p>
        </w:tc>
      </w:tr>
    </w:tbl>
    <w:p w14:paraId="11B5007B" w14:textId="77777777" w:rsidR="00C33357" w:rsidRDefault="00C33357">
      <w:pPr>
        <w:spacing w:after="0"/>
      </w:pPr>
    </w:p>
    <w:p w14:paraId="67E02BBF" w14:textId="77777777" w:rsidR="00C33357" w:rsidRDefault="00000000">
      <w:pPr>
        <w:spacing w:line="240" w:lineRule="auto"/>
        <w:jc w:val="both"/>
      </w:pPr>
      <w:r>
        <w:t xml:space="preserve">Centar za odgoj i obrazovanje Tomislav Špoljar je ustanova s posebnim uvjetima odgoja i obrazovanja koja provodi obrazovanje učenika s većim teškoćama u razvoju.  Trenutno se u Centru provode Posebni program uz individualizirane postupke i Posebni program za stjecanje kompetencija u aktivnostima svakodnevnog života i rada uz individualizirane postupke na razini osnovnog obrazovanja i dva programa za stjecanje strukovne kvalifikacije u pomoćnim zanimanjima; od 2013. godine „Pomoćni kuhar i slastičar – TES u obrazovnom </w:t>
      </w:r>
      <w:r>
        <w:lastRenderedPageBreak/>
        <w:t>sektoru Turizam i ugostiteljstvo te od 2017. godine „Pomoćni cvjećar – TES u obrazovnom sektoru Poljoprivreda, prehrana i veterina. U sastavu Centra je i odjeljenje za provođenje radno-okupacijskih aktivnosti u koje se uključuju osobe iznad 21. godine života sa značajno sniženim intelektualnih sposobnostima prema rješenju Centra za socijalnu skrb. Na kraju polugodišnjeg financijskog izvještaja, prikazan je manjak poslovanja. Manjak je nastao radi knjiženja plaće za lipanj, čija isplata je tek u srpnju pa nema prikazanih prihoda za navedeno.</w:t>
      </w:r>
    </w:p>
    <w:p w14:paraId="1DFB4004" w14:textId="77777777" w:rsidR="00C33357" w:rsidRDefault="00000000">
      <w:r>
        <w:br/>
      </w:r>
    </w:p>
    <w:p w14:paraId="4AD39612" w14:textId="77777777" w:rsidR="00C3335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E8701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31085B"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1A6068"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124FC"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24C205"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341801"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899E33" w14:textId="77777777" w:rsidR="00C33357" w:rsidRDefault="00000000">
            <w:pPr>
              <w:keepNext/>
              <w:keepLines/>
              <w:spacing w:after="0" w:line="240" w:lineRule="auto"/>
              <w:jc w:val="center"/>
            </w:pPr>
            <w:r>
              <w:rPr>
                <w:b/>
                <w:sz w:val="18"/>
              </w:rPr>
              <w:t>Indeks (%)</w:t>
            </w:r>
          </w:p>
        </w:tc>
      </w:tr>
      <w:tr w:rsidR="00C33357" w14:paraId="32DCD8A7" w14:textId="77777777">
        <w:tblPrEx>
          <w:tblCellMar>
            <w:top w:w="0" w:type="dxa"/>
            <w:bottom w:w="0" w:type="dxa"/>
          </w:tblCellMar>
        </w:tblPrEx>
        <w:trPr>
          <w:cantSplit/>
          <w:trHeight w:val="560"/>
        </w:trPr>
        <w:tc>
          <w:tcPr>
            <w:tcW w:w="700" w:type="dxa"/>
            <w:tcMar>
              <w:top w:w="0" w:type="dxa"/>
              <w:bottom w:w="0" w:type="dxa"/>
            </w:tcMar>
            <w:vAlign w:val="center"/>
          </w:tcPr>
          <w:p w14:paraId="6C4F09A4" w14:textId="77777777" w:rsidR="00C33357" w:rsidRDefault="00000000">
            <w:pPr>
              <w:keepNext/>
              <w:keepLines/>
              <w:spacing w:after="0" w:line="240" w:lineRule="auto"/>
            </w:pPr>
            <w:r>
              <w:rPr>
                <w:sz w:val="18"/>
              </w:rPr>
              <w:t>6361</w:t>
            </w:r>
          </w:p>
        </w:tc>
        <w:tc>
          <w:tcPr>
            <w:tcW w:w="3180" w:type="dxa"/>
            <w:tcMar>
              <w:top w:w="0" w:type="dxa"/>
              <w:bottom w:w="0" w:type="dxa"/>
            </w:tcMar>
            <w:vAlign w:val="center"/>
          </w:tcPr>
          <w:p w14:paraId="2F31BE42" w14:textId="77777777" w:rsidR="00C33357"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25CB030" w14:textId="77777777" w:rsidR="00C33357" w:rsidRDefault="00000000">
            <w:pPr>
              <w:keepNext/>
              <w:keepLines/>
              <w:spacing w:after="0" w:line="240" w:lineRule="auto"/>
            </w:pPr>
            <w:r>
              <w:rPr>
                <w:sz w:val="18"/>
              </w:rPr>
              <w:t>6361</w:t>
            </w:r>
          </w:p>
        </w:tc>
        <w:tc>
          <w:tcPr>
            <w:tcW w:w="1860" w:type="dxa"/>
            <w:tcMar>
              <w:top w:w="0" w:type="dxa"/>
              <w:bottom w:w="0" w:type="dxa"/>
            </w:tcMar>
            <w:vAlign w:val="center"/>
          </w:tcPr>
          <w:p w14:paraId="58DFDC7B" w14:textId="77777777" w:rsidR="00C33357" w:rsidRDefault="00000000">
            <w:pPr>
              <w:keepNext/>
              <w:keepLines/>
              <w:spacing w:after="0" w:line="240" w:lineRule="auto"/>
              <w:jc w:val="right"/>
            </w:pPr>
            <w:r>
              <w:rPr>
                <w:sz w:val="18"/>
              </w:rPr>
              <w:t>1.025.300,85</w:t>
            </w:r>
          </w:p>
        </w:tc>
        <w:tc>
          <w:tcPr>
            <w:tcW w:w="1860" w:type="dxa"/>
            <w:tcMar>
              <w:top w:w="0" w:type="dxa"/>
              <w:bottom w:w="0" w:type="dxa"/>
            </w:tcMar>
            <w:vAlign w:val="center"/>
          </w:tcPr>
          <w:p w14:paraId="1F1A399F" w14:textId="77777777" w:rsidR="00C33357" w:rsidRDefault="00000000">
            <w:pPr>
              <w:keepNext/>
              <w:keepLines/>
              <w:spacing w:after="0" w:line="240" w:lineRule="auto"/>
              <w:jc w:val="right"/>
            </w:pPr>
            <w:r>
              <w:rPr>
                <w:sz w:val="18"/>
              </w:rPr>
              <w:t>1.180.957,34</w:t>
            </w:r>
          </w:p>
        </w:tc>
        <w:tc>
          <w:tcPr>
            <w:tcW w:w="700" w:type="dxa"/>
            <w:tcMar>
              <w:top w:w="0" w:type="dxa"/>
              <w:bottom w:w="0" w:type="dxa"/>
            </w:tcMar>
            <w:vAlign w:val="center"/>
          </w:tcPr>
          <w:p w14:paraId="4C21418F" w14:textId="77777777" w:rsidR="00C33357" w:rsidRDefault="00000000">
            <w:pPr>
              <w:keepNext/>
              <w:keepLines/>
              <w:spacing w:after="0" w:line="240" w:lineRule="auto"/>
              <w:jc w:val="right"/>
            </w:pPr>
            <w:r>
              <w:rPr>
                <w:sz w:val="18"/>
              </w:rPr>
              <w:t>115,2</w:t>
            </w:r>
          </w:p>
        </w:tc>
      </w:tr>
    </w:tbl>
    <w:p w14:paraId="5D704001" w14:textId="77777777" w:rsidR="00C33357" w:rsidRDefault="00C33357">
      <w:pPr>
        <w:spacing w:after="0"/>
      </w:pPr>
    </w:p>
    <w:p w14:paraId="36544F30" w14:textId="77777777" w:rsidR="00C33357" w:rsidRDefault="00000000">
      <w:pPr>
        <w:spacing w:line="240" w:lineRule="auto"/>
        <w:jc w:val="both"/>
      </w:pPr>
      <w:r>
        <w:t>Evidentirane su sve uplate vezane za plaće djelatnika, financirane od strane Ministarstva, uplate za prijevoz učenika s teškoćama, doznaka za besplatni topli obrok te uplate vezane uz materijalna prava djelatnika. Iznos na kontu je povećan zbog povećanja plaća te ostalih navedenih materijalnih prava, usporedno sa prethodnom godinom u istom razdoblju. Došlo je do povećanja za 15,2 %.</w:t>
      </w:r>
    </w:p>
    <w:p w14:paraId="5B6EC2B2" w14:textId="77777777" w:rsidR="00C33357" w:rsidRDefault="00C33357"/>
    <w:p w14:paraId="433013D6" w14:textId="77777777" w:rsidR="00C33357"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2A9AB7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5C52C"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19E6F4"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BDDA6E"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1AC37"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E8965E"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DD6C90" w14:textId="77777777" w:rsidR="00C33357" w:rsidRDefault="00000000">
            <w:pPr>
              <w:keepNext/>
              <w:keepLines/>
              <w:spacing w:after="0" w:line="240" w:lineRule="auto"/>
              <w:jc w:val="center"/>
            </w:pPr>
            <w:r>
              <w:rPr>
                <w:b/>
                <w:sz w:val="18"/>
              </w:rPr>
              <w:t>Indeks (%)</w:t>
            </w:r>
          </w:p>
        </w:tc>
      </w:tr>
      <w:tr w:rsidR="00C33357" w14:paraId="542A5A61" w14:textId="77777777">
        <w:tblPrEx>
          <w:tblCellMar>
            <w:top w:w="0" w:type="dxa"/>
            <w:bottom w:w="0" w:type="dxa"/>
          </w:tblCellMar>
        </w:tblPrEx>
        <w:trPr>
          <w:cantSplit/>
          <w:trHeight w:val="560"/>
        </w:trPr>
        <w:tc>
          <w:tcPr>
            <w:tcW w:w="700" w:type="dxa"/>
            <w:tcMar>
              <w:top w:w="0" w:type="dxa"/>
              <w:bottom w:w="0" w:type="dxa"/>
            </w:tcMar>
            <w:vAlign w:val="center"/>
          </w:tcPr>
          <w:p w14:paraId="0C6CD599" w14:textId="77777777" w:rsidR="00C33357" w:rsidRDefault="00000000">
            <w:pPr>
              <w:keepNext/>
              <w:keepLines/>
              <w:spacing w:after="0" w:line="240" w:lineRule="auto"/>
            </w:pPr>
            <w:r>
              <w:rPr>
                <w:sz w:val="18"/>
              </w:rPr>
              <w:t>6526</w:t>
            </w:r>
          </w:p>
        </w:tc>
        <w:tc>
          <w:tcPr>
            <w:tcW w:w="3180" w:type="dxa"/>
            <w:tcMar>
              <w:top w:w="0" w:type="dxa"/>
              <w:bottom w:w="0" w:type="dxa"/>
            </w:tcMar>
            <w:vAlign w:val="center"/>
          </w:tcPr>
          <w:p w14:paraId="464B15B0" w14:textId="77777777" w:rsidR="00C33357"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98BE93D" w14:textId="77777777" w:rsidR="00C33357" w:rsidRDefault="00000000">
            <w:pPr>
              <w:keepNext/>
              <w:keepLines/>
              <w:spacing w:after="0" w:line="240" w:lineRule="auto"/>
            </w:pPr>
            <w:r>
              <w:rPr>
                <w:sz w:val="18"/>
              </w:rPr>
              <w:t>6526</w:t>
            </w:r>
          </w:p>
        </w:tc>
        <w:tc>
          <w:tcPr>
            <w:tcW w:w="1860" w:type="dxa"/>
            <w:tcMar>
              <w:top w:w="0" w:type="dxa"/>
              <w:bottom w:w="0" w:type="dxa"/>
            </w:tcMar>
            <w:vAlign w:val="center"/>
          </w:tcPr>
          <w:p w14:paraId="177F9D02" w14:textId="77777777" w:rsidR="00C33357" w:rsidRDefault="00000000">
            <w:pPr>
              <w:keepNext/>
              <w:keepLines/>
              <w:spacing w:after="0" w:line="240" w:lineRule="auto"/>
              <w:jc w:val="right"/>
            </w:pPr>
            <w:r>
              <w:rPr>
                <w:sz w:val="18"/>
              </w:rPr>
              <w:t>52.260,19</w:t>
            </w:r>
          </w:p>
        </w:tc>
        <w:tc>
          <w:tcPr>
            <w:tcW w:w="1860" w:type="dxa"/>
            <w:tcMar>
              <w:top w:w="0" w:type="dxa"/>
              <w:bottom w:w="0" w:type="dxa"/>
            </w:tcMar>
            <w:vAlign w:val="center"/>
          </w:tcPr>
          <w:p w14:paraId="15B71305" w14:textId="77777777" w:rsidR="00C33357" w:rsidRDefault="00000000">
            <w:pPr>
              <w:keepNext/>
              <w:keepLines/>
              <w:spacing w:after="0" w:line="240" w:lineRule="auto"/>
              <w:jc w:val="right"/>
            </w:pPr>
            <w:r>
              <w:rPr>
                <w:sz w:val="18"/>
              </w:rPr>
              <w:t>52.395,10</w:t>
            </w:r>
          </w:p>
        </w:tc>
        <w:tc>
          <w:tcPr>
            <w:tcW w:w="700" w:type="dxa"/>
            <w:tcMar>
              <w:top w:w="0" w:type="dxa"/>
              <w:bottom w:w="0" w:type="dxa"/>
            </w:tcMar>
            <w:vAlign w:val="center"/>
          </w:tcPr>
          <w:p w14:paraId="2B61709F" w14:textId="77777777" w:rsidR="00C33357" w:rsidRDefault="00000000">
            <w:pPr>
              <w:keepNext/>
              <w:keepLines/>
              <w:spacing w:after="0" w:line="240" w:lineRule="auto"/>
              <w:jc w:val="right"/>
            </w:pPr>
            <w:r>
              <w:rPr>
                <w:sz w:val="18"/>
              </w:rPr>
              <w:t>100,3</w:t>
            </w:r>
          </w:p>
        </w:tc>
      </w:tr>
    </w:tbl>
    <w:p w14:paraId="77DA142D" w14:textId="77777777" w:rsidR="00C33357" w:rsidRDefault="00C33357">
      <w:pPr>
        <w:spacing w:after="0"/>
      </w:pPr>
    </w:p>
    <w:p w14:paraId="0444F37E" w14:textId="77777777" w:rsidR="00C33357" w:rsidRDefault="00000000">
      <w:pPr>
        <w:spacing w:line="240" w:lineRule="auto"/>
        <w:jc w:val="both"/>
      </w:pPr>
      <w:r>
        <w:t>Sva sredstva uplaćena od strane polaznika srednjoškolskog obrazovanja Centra za školsku prehranu te od Ministarstva rada, mirovinskog sustava, obitelji i socijalne politike za korištenje socijalne usluge. Iznos utrošenih sredstava je gotovo jednak iznosu iz istog razdoblja prethodne godine.</w:t>
      </w:r>
    </w:p>
    <w:p w14:paraId="643DE709" w14:textId="77777777" w:rsidR="00C33357" w:rsidRDefault="00C33357"/>
    <w:p w14:paraId="35D5424D" w14:textId="77777777" w:rsidR="00C33357"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FBA87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D4B61"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21A60D"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C0415"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657EC9"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BDB7BD"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3EBBE1" w14:textId="77777777" w:rsidR="00C33357" w:rsidRDefault="00000000">
            <w:pPr>
              <w:keepNext/>
              <w:keepLines/>
              <w:spacing w:after="0" w:line="240" w:lineRule="auto"/>
              <w:jc w:val="center"/>
            </w:pPr>
            <w:r>
              <w:rPr>
                <w:b/>
                <w:sz w:val="18"/>
              </w:rPr>
              <w:t>Indeks (%)</w:t>
            </w:r>
          </w:p>
        </w:tc>
      </w:tr>
      <w:tr w:rsidR="00C33357" w14:paraId="5F6087D7" w14:textId="77777777">
        <w:tblPrEx>
          <w:tblCellMar>
            <w:top w:w="0" w:type="dxa"/>
            <w:bottom w:w="0" w:type="dxa"/>
          </w:tblCellMar>
        </w:tblPrEx>
        <w:trPr>
          <w:cantSplit/>
          <w:trHeight w:val="560"/>
        </w:trPr>
        <w:tc>
          <w:tcPr>
            <w:tcW w:w="700" w:type="dxa"/>
            <w:tcMar>
              <w:top w:w="0" w:type="dxa"/>
              <w:bottom w:w="0" w:type="dxa"/>
            </w:tcMar>
            <w:vAlign w:val="center"/>
          </w:tcPr>
          <w:p w14:paraId="620012A2" w14:textId="77777777" w:rsidR="00C33357" w:rsidRDefault="00000000">
            <w:pPr>
              <w:keepNext/>
              <w:keepLines/>
              <w:spacing w:after="0" w:line="240" w:lineRule="auto"/>
            </w:pPr>
            <w:r>
              <w:rPr>
                <w:sz w:val="18"/>
              </w:rPr>
              <w:t>6615</w:t>
            </w:r>
          </w:p>
        </w:tc>
        <w:tc>
          <w:tcPr>
            <w:tcW w:w="3180" w:type="dxa"/>
            <w:tcMar>
              <w:top w:w="0" w:type="dxa"/>
              <w:bottom w:w="0" w:type="dxa"/>
            </w:tcMar>
            <w:vAlign w:val="center"/>
          </w:tcPr>
          <w:p w14:paraId="37D7B854" w14:textId="77777777" w:rsidR="00C33357"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69C7426F" w14:textId="77777777" w:rsidR="00C33357" w:rsidRDefault="00000000">
            <w:pPr>
              <w:keepNext/>
              <w:keepLines/>
              <w:spacing w:after="0" w:line="240" w:lineRule="auto"/>
            </w:pPr>
            <w:r>
              <w:rPr>
                <w:sz w:val="18"/>
              </w:rPr>
              <w:t>6615</w:t>
            </w:r>
          </w:p>
        </w:tc>
        <w:tc>
          <w:tcPr>
            <w:tcW w:w="1860" w:type="dxa"/>
            <w:tcMar>
              <w:top w:w="0" w:type="dxa"/>
              <w:bottom w:w="0" w:type="dxa"/>
            </w:tcMar>
            <w:vAlign w:val="center"/>
          </w:tcPr>
          <w:p w14:paraId="1C4C86F3" w14:textId="77777777" w:rsidR="00C33357" w:rsidRDefault="00000000">
            <w:pPr>
              <w:keepNext/>
              <w:keepLines/>
              <w:spacing w:after="0" w:line="240" w:lineRule="auto"/>
              <w:jc w:val="right"/>
            </w:pPr>
            <w:r>
              <w:rPr>
                <w:sz w:val="18"/>
              </w:rPr>
              <w:t>2.340,00</w:t>
            </w:r>
          </w:p>
        </w:tc>
        <w:tc>
          <w:tcPr>
            <w:tcW w:w="1860" w:type="dxa"/>
            <w:tcMar>
              <w:top w:w="0" w:type="dxa"/>
              <w:bottom w:w="0" w:type="dxa"/>
            </w:tcMar>
            <w:vAlign w:val="center"/>
          </w:tcPr>
          <w:p w14:paraId="3EE1DDF6" w14:textId="77777777" w:rsidR="00C33357" w:rsidRDefault="00000000">
            <w:pPr>
              <w:keepNext/>
              <w:keepLines/>
              <w:spacing w:after="0" w:line="240" w:lineRule="auto"/>
              <w:jc w:val="right"/>
            </w:pPr>
            <w:r>
              <w:rPr>
                <w:sz w:val="18"/>
              </w:rPr>
              <w:t>2.890,60</w:t>
            </w:r>
          </w:p>
        </w:tc>
        <w:tc>
          <w:tcPr>
            <w:tcW w:w="700" w:type="dxa"/>
            <w:tcMar>
              <w:top w:w="0" w:type="dxa"/>
              <w:bottom w:w="0" w:type="dxa"/>
            </w:tcMar>
            <w:vAlign w:val="center"/>
          </w:tcPr>
          <w:p w14:paraId="7A0CFD5B" w14:textId="77777777" w:rsidR="00C33357" w:rsidRDefault="00000000">
            <w:pPr>
              <w:keepNext/>
              <w:keepLines/>
              <w:spacing w:after="0" w:line="240" w:lineRule="auto"/>
              <w:jc w:val="right"/>
            </w:pPr>
            <w:r>
              <w:rPr>
                <w:sz w:val="18"/>
              </w:rPr>
              <w:t>123,5</w:t>
            </w:r>
          </w:p>
        </w:tc>
      </w:tr>
    </w:tbl>
    <w:p w14:paraId="15481FA5" w14:textId="77777777" w:rsidR="00C33357" w:rsidRDefault="00C33357">
      <w:pPr>
        <w:spacing w:after="0"/>
      </w:pPr>
    </w:p>
    <w:p w14:paraId="0AF2BCEF" w14:textId="77777777" w:rsidR="00C33357" w:rsidRDefault="00000000">
      <w:pPr>
        <w:spacing w:line="240" w:lineRule="auto"/>
        <w:jc w:val="both"/>
      </w:pPr>
      <w:r>
        <w:t>Prihodi od najma sportske dvorane Centra povećali su se za 23,5 % u odnosu na prethodnu godinu.</w:t>
      </w:r>
    </w:p>
    <w:p w14:paraId="1D46D4F3" w14:textId="77777777" w:rsidR="00C33357" w:rsidRDefault="00C33357"/>
    <w:p w14:paraId="416423A0" w14:textId="77777777" w:rsidR="00C33357"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3B9964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B7978D"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3DE1AD"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078171"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D8C7E"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037957"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52E7F4" w14:textId="77777777" w:rsidR="00C33357" w:rsidRDefault="00000000">
            <w:pPr>
              <w:keepNext/>
              <w:keepLines/>
              <w:spacing w:after="0" w:line="240" w:lineRule="auto"/>
              <w:jc w:val="center"/>
            </w:pPr>
            <w:r>
              <w:rPr>
                <w:b/>
                <w:sz w:val="18"/>
              </w:rPr>
              <w:t>Indeks (%)</w:t>
            </w:r>
          </w:p>
        </w:tc>
      </w:tr>
      <w:tr w:rsidR="00C33357" w14:paraId="23A43E1E" w14:textId="77777777">
        <w:tblPrEx>
          <w:tblCellMar>
            <w:top w:w="0" w:type="dxa"/>
            <w:bottom w:w="0" w:type="dxa"/>
          </w:tblCellMar>
        </w:tblPrEx>
        <w:trPr>
          <w:cantSplit/>
          <w:trHeight w:val="560"/>
        </w:trPr>
        <w:tc>
          <w:tcPr>
            <w:tcW w:w="700" w:type="dxa"/>
            <w:tcMar>
              <w:top w:w="0" w:type="dxa"/>
              <w:bottom w:w="0" w:type="dxa"/>
            </w:tcMar>
            <w:vAlign w:val="center"/>
          </w:tcPr>
          <w:p w14:paraId="06B0077E" w14:textId="77777777" w:rsidR="00C33357" w:rsidRDefault="00000000">
            <w:pPr>
              <w:keepNext/>
              <w:keepLines/>
              <w:spacing w:after="0" w:line="240" w:lineRule="auto"/>
            </w:pPr>
            <w:r>
              <w:rPr>
                <w:sz w:val="18"/>
              </w:rPr>
              <w:t>6711</w:t>
            </w:r>
          </w:p>
        </w:tc>
        <w:tc>
          <w:tcPr>
            <w:tcW w:w="3180" w:type="dxa"/>
            <w:tcMar>
              <w:top w:w="0" w:type="dxa"/>
              <w:bottom w:w="0" w:type="dxa"/>
            </w:tcMar>
            <w:vAlign w:val="center"/>
          </w:tcPr>
          <w:p w14:paraId="2A1C3395" w14:textId="77777777" w:rsidR="00C33357"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6F3A78F" w14:textId="77777777" w:rsidR="00C33357" w:rsidRDefault="00000000">
            <w:pPr>
              <w:keepNext/>
              <w:keepLines/>
              <w:spacing w:after="0" w:line="240" w:lineRule="auto"/>
            </w:pPr>
            <w:r>
              <w:rPr>
                <w:sz w:val="18"/>
              </w:rPr>
              <w:t>6711</w:t>
            </w:r>
          </w:p>
        </w:tc>
        <w:tc>
          <w:tcPr>
            <w:tcW w:w="1860" w:type="dxa"/>
            <w:tcMar>
              <w:top w:w="0" w:type="dxa"/>
              <w:bottom w:w="0" w:type="dxa"/>
            </w:tcMar>
            <w:vAlign w:val="center"/>
          </w:tcPr>
          <w:p w14:paraId="1C6FD6EB" w14:textId="77777777" w:rsidR="00C33357" w:rsidRDefault="00000000">
            <w:pPr>
              <w:keepNext/>
              <w:keepLines/>
              <w:spacing w:after="0" w:line="240" w:lineRule="auto"/>
              <w:jc w:val="right"/>
            </w:pPr>
            <w:r>
              <w:rPr>
                <w:sz w:val="18"/>
              </w:rPr>
              <w:t>112.938,68</w:t>
            </w:r>
          </w:p>
        </w:tc>
        <w:tc>
          <w:tcPr>
            <w:tcW w:w="1860" w:type="dxa"/>
            <w:tcMar>
              <w:top w:w="0" w:type="dxa"/>
              <w:bottom w:w="0" w:type="dxa"/>
            </w:tcMar>
            <w:vAlign w:val="center"/>
          </w:tcPr>
          <w:p w14:paraId="0994B12B" w14:textId="77777777" w:rsidR="00C33357" w:rsidRDefault="00000000">
            <w:pPr>
              <w:keepNext/>
              <w:keepLines/>
              <w:spacing w:after="0" w:line="240" w:lineRule="auto"/>
              <w:jc w:val="right"/>
            </w:pPr>
            <w:r>
              <w:rPr>
                <w:sz w:val="18"/>
              </w:rPr>
              <w:t>76.996,27</w:t>
            </w:r>
          </w:p>
        </w:tc>
        <w:tc>
          <w:tcPr>
            <w:tcW w:w="700" w:type="dxa"/>
            <w:tcMar>
              <w:top w:w="0" w:type="dxa"/>
              <w:bottom w:w="0" w:type="dxa"/>
            </w:tcMar>
            <w:vAlign w:val="center"/>
          </w:tcPr>
          <w:p w14:paraId="285D7027" w14:textId="77777777" w:rsidR="00C33357" w:rsidRDefault="00000000">
            <w:pPr>
              <w:keepNext/>
              <w:keepLines/>
              <w:spacing w:after="0" w:line="240" w:lineRule="auto"/>
              <w:jc w:val="right"/>
            </w:pPr>
            <w:r>
              <w:rPr>
                <w:sz w:val="18"/>
              </w:rPr>
              <w:t>68,2</w:t>
            </w:r>
          </w:p>
        </w:tc>
      </w:tr>
    </w:tbl>
    <w:p w14:paraId="6EEFD658" w14:textId="77777777" w:rsidR="00C33357" w:rsidRDefault="00C33357">
      <w:pPr>
        <w:spacing w:after="0"/>
      </w:pPr>
    </w:p>
    <w:p w14:paraId="01FED8D2" w14:textId="77777777" w:rsidR="00C33357" w:rsidRDefault="00000000">
      <w:pPr>
        <w:spacing w:line="240" w:lineRule="auto"/>
        <w:jc w:val="both"/>
      </w:pPr>
      <w:r>
        <w:t>Prihodi, odnosno sredstva osigurana za plaće pomoćnika u nastavi i poludnevni boravak od strane Osnivača; sredstva za usluge i materijalne rashode; usporedno sa prethodnom godinom, prihodi su smanjeni za 31,8 %. Od 01.05.2025., Centar više ne isplaćuje plaću za djelatnicu u poludnevnom boravku, plaću isplaćuje Grad Varaždin.</w:t>
      </w:r>
    </w:p>
    <w:p w14:paraId="28D0A4AA" w14:textId="77777777" w:rsidR="00C33357" w:rsidRDefault="00C33357"/>
    <w:p w14:paraId="6749E653" w14:textId="77777777" w:rsidR="00C33357"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1368F8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15E375"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C3C928"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8F294"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ED2BC"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F74E44"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8243A0" w14:textId="77777777" w:rsidR="00C33357" w:rsidRDefault="00000000">
            <w:pPr>
              <w:keepNext/>
              <w:keepLines/>
              <w:spacing w:after="0" w:line="240" w:lineRule="auto"/>
              <w:jc w:val="center"/>
            </w:pPr>
            <w:r>
              <w:rPr>
                <w:b/>
                <w:sz w:val="18"/>
              </w:rPr>
              <w:t>Indeks (%)</w:t>
            </w:r>
          </w:p>
        </w:tc>
      </w:tr>
      <w:tr w:rsidR="00C33357" w14:paraId="59BF4607" w14:textId="77777777">
        <w:tblPrEx>
          <w:tblCellMar>
            <w:top w:w="0" w:type="dxa"/>
            <w:bottom w:w="0" w:type="dxa"/>
          </w:tblCellMar>
        </w:tblPrEx>
        <w:trPr>
          <w:cantSplit/>
          <w:trHeight w:val="560"/>
        </w:trPr>
        <w:tc>
          <w:tcPr>
            <w:tcW w:w="700" w:type="dxa"/>
            <w:tcMar>
              <w:top w:w="0" w:type="dxa"/>
              <w:bottom w:w="0" w:type="dxa"/>
            </w:tcMar>
            <w:vAlign w:val="center"/>
          </w:tcPr>
          <w:p w14:paraId="3D024F37" w14:textId="77777777" w:rsidR="00C33357" w:rsidRDefault="00000000">
            <w:pPr>
              <w:keepNext/>
              <w:keepLines/>
              <w:spacing w:after="0" w:line="240" w:lineRule="auto"/>
            </w:pPr>
            <w:r>
              <w:rPr>
                <w:sz w:val="18"/>
              </w:rPr>
              <w:t>6712</w:t>
            </w:r>
          </w:p>
        </w:tc>
        <w:tc>
          <w:tcPr>
            <w:tcW w:w="3180" w:type="dxa"/>
            <w:tcMar>
              <w:top w:w="0" w:type="dxa"/>
              <w:bottom w:w="0" w:type="dxa"/>
            </w:tcMar>
            <w:vAlign w:val="center"/>
          </w:tcPr>
          <w:p w14:paraId="1CA5C80D" w14:textId="77777777" w:rsidR="00C33357"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EF850C0" w14:textId="77777777" w:rsidR="00C33357" w:rsidRDefault="00000000">
            <w:pPr>
              <w:keepNext/>
              <w:keepLines/>
              <w:spacing w:after="0" w:line="240" w:lineRule="auto"/>
            </w:pPr>
            <w:r>
              <w:rPr>
                <w:sz w:val="18"/>
              </w:rPr>
              <w:t>6712</w:t>
            </w:r>
          </w:p>
        </w:tc>
        <w:tc>
          <w:tcPr>
            <w:tcW w:w="1860" w:type="dxa"/>
            <w:tcMar>
              <w:top w:w="0" w:type="dxa"/>
              <w:bottom w:w="0" w:type="dxa"/>
            </w:tcMar>
            <w:vAlign w:val="center"/>
          </w:tcPr>
          <w:p w14:paraId="373E87CE" w14:textId="77777777" w:rsidR="00C33357" w:rsidRDefault="00000000">
            <w:pPr>
              <w:keepNext/>
              <w:keepLines/>
              <w:spacing w:after="0" w:line="240" w:lineRule="auto"/>
              <w:jc w:val="right"/>
            </w:pPr>
            <w:r>
              <w:rPr>
                <w:sz w:val="18"/>
              </w:rPr>
              <w:t>61.798,22</w:t>
            </w:r>
          </w:p>
        </w:tc>
        <w:tc>
          <w:tcPr>
            <w:tcW w:w="1860" w:type="dxa"/>
            <w:tcMar>
              <w:top w:w="0" w:type="dxa"/>
              <w:bottom w:w="0" w:type="dxa"/>
            </w:tcMar>
            <w:vAlign w:val="center"/>
          </w:tcPr>
          <w:p w14:paraId="74ECAA32" w14:textId="77777777" w:rsidR="00C33357" w:rsidRDefault="00000000">
            <w:pPr>
              <w:keepNext/>
              <w:keepLines/>
              <w:spacing w:after="0" w:line="240" w:lineRule="auto"/>
              <w:jc w:val="right"/>
            </w:pPr>
            <w:r>
              <w:rPr>
                <w:sz w:val="18"/>
              </w:rPr>
              <w:t>12.176,43</w:t>
            </w:r>
          </w:p>
        </w:tc>
        <w:tc>
          <w:tcPr>
            <w:tcW w:w="700" w:type="dxa"/>
            <w:tcMar>
              <w:top w:w="0" w:type="dxa"/>
              <w:bottom w:w="0" w:type="dxa"/>
            </w:tcMar>
            <w:vAlign w:val="center"/>
          </w:tcPr>
          <w:p w14:paraId="364A417E" w14:textId="77777777" w:rsidR="00C33357" w:rsidRDefault="00000000">
            <w:pPr>
              <w:keepNext/>
              <w:keepLines/>
              <w:spacing w:after="0" w:line="240" w:lineRule="auto"/>
              <w:jc w:val="right"/>
            </w:pPr>
            <w:r>
              <w:rPr>
                <w:sz w:val="18"/>
              </w:rPr>
              <w:t>19,7</w:t>
            </w:r>
          </w:p>
        </w:tc>
      </w:tr>
    </w:tbl>
    <w:p w14:paraId="19EE70C8" w14:textId="77777777" w:rsidR="00C33357" w:rsidRDefault="00C33357">
      <w:pPr>
        <w:spacing w:after="0"/>
      </w:pPr>
    </w:p>
    <w:p w14:paraId="6B697442" w14:textId="77777777" w:rsidR="00C33357" w:rsidRDefault="00000000">
      <w:pPr>
        <w:spacing w:line="240" w:lineRule="auto"/>
        <w:jc w:val="both"/>
      </w:pPr>
      <w:r>
        <w:t>Na ovoj poziciji iskazani su smanjeni prihodi u odnosu na isto izvještajno razdoblje prethodne godine jer je ove godine utrošeno samo na izmjenu stolarije i nabavu opreme za sigurnost škole.</w:t>
      </w:r>
    </w:p>
    <w:p w14:paraId="479DEC61" w14:textId="77777777" w:rsidR="00C33357" w:rsidRDefault="00C33357"/>
    <w:p w14:paraId="10822E5E" w14:textId="77777777" w:rsidR="00C33357"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715289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9798D"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F91946"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4B606D"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BF392D"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012554"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01C0E9" w14:textId="77777777" w:rsidR="00C33357" w:rsidRDefault="00000000">
            <w:pPr>
              <w:keepNext/>
              <w:keepLines/>
              <w:spacing w:after="0" w:line="240" w:lineRule="auto"/>
              <w:jc w:val="center"/>
            </w:pPr>
            <w:r>
              <w:rPr>
                <w:b/>
                <w:sz w:val="18"/>
              </w:rPr>
              <w:t>Indeks (%)</w:t>
            </w:r>
          </w:p>
        </w:tc>
      </w:tr>
      <w:tr w:rsidR="00C33357" w14:paraId="2B270216" w14:textId="77777777">
        <w:tblPrEx>
          <w:tblCellMar>
            <w:top w:w="0" w:type="dxa"/>
            <w:bottom w:w="0" w:type="dxa"/>
          </w:tblCellMar>
        </w:tblPrEx>
        <w:trPr>
          <w:cantSplit/>
          <w:trHeight w:val="560"/>
        </w:trPr>
        <w:tc>
          <w:tcPr>
            <w:tcW w:w="700" w:type="dxa"/>
            <w:tcMar>
              <w:top w:w="0" w:type="dxa"/>
              <w:bottom w:w="0" w:type="dxa"/>
            </w:tcMar>
            <w:vAlign w:val="center"/>
          </w:tcPr>
          <w:p w14:paraId="067A91AB" w14:textId="77777777" w:rsidR="00C33357" w:rsidRDefault="00000000">
            <w:pPr>
              <w:keepNext/>
              <w:keepLines/>
              <w:spacing w:after="0" w:line="240" w:lineRule="auto"/>
            </w:pPr>
            <w:r>
              <w:rPr>
                <w:sz w:val="18"/>
              </w:rPr>
              <w:t>3111</w:t>
            </w:r>
          </w:p>
        </w:tc>
        <w:tc>
          <w:tcPr>
            <w:tcW w:w="3180" w:type="dxa"/>
            <w:tcMar>
              <w:top w:w="0" w:type="dxa"/>
              <w:bottom w:w="0" w:type="dxa"/>
            </w:tcMar>
            <w:vAlign w:val="center"/>
          </w:tcPr>
          <w:p w14:paraId="27331295" w14:textId="77777777" w:rsidR="00C33357" w:rsidRDefault="00000000">
            <w:pPr>
              <w:keepNext/>
              <w:keepLines/>
              <w:spacing w:after="0" w:line="240" w:lineRule="auto"/>
            </w:pPr>
            <w:r>
              <w:rPr>
                <w:sz w:val="18"/>
              </w:rPr>
              <w:t>Plaće za redovan rad</w:t>
            </w:r>
          </w:p>
        </w:tc>
        <w:tc>
          <w:tcPr>
            <w:tcW w:w="700" w:type="dxa"/>
            <w:tcMar>
              <w:top w:w="0" w:type="dxa"/>
              <w:bottom w:w="0" w:type="dxa"/>
            </w:tcMar>
            <w:vAlign w:val="center"/>
          </w:tcPr>
          <w:p w14:paraId="6D5CA037" w14:textId="77777777" w:rsidR="00C33357" w:rsidRDefault="00000000">
            <w:pPr>
              <w:keepNext/>
              <w:keepLines/>
              <w:spacing w:after="0" w:line="240" w:lineRule="auto"/>
            </w:pPr>
            <w:r>
              <w:rPr>
                <w:sz w:val="18"/>
              </w:rPr>
              <w:t>3111</w:t>
            </w:r>
          </w:p>
        </w:tc>
        <w:tc>
          <w:tcPr>
            <w:tcW w:w="1860" w:type="dxa"/>
            <w:tcMar>
              <w:top w:w="0" w:type="dxa"/>
              <w:bottom w:w="0" w:type="dxa"/>
            </w:tcMar>
            <w:vAlign w:val="center"/>
          </w:tcPr>
          <w:p w14:paraId="157B3FC4" w14:textId="77777777" w:rsidR="00C33357" w:rsidRDefault="00000000">
            <w:pPr>
              <w:keepNext/>
              <w:keepLines/>
              <w:spacing w:after="0" w:line="240" w:lineRule="auto"/>
              <w:jc w:val="right"/>
            </w:pPr>
            <w:r>
              <w:rPr>
                <w:sz w:val="18"/>
              </w:rPr>
              <w:t>798.030,88</w:t>
            </w:r>
          </w:p>
        </w:tc>
        <w:tc>
          <w:tcPr>
            <w:tcW w:w="1860" w:type="dxa"/>
            <w:tcMar>
              <w:top w:w="0" w:type="dxa"/>
              <w:bottom w:w="0" w:type="dxa"/>
            </w:tcMar>
            <w:vAlign w:val="center"/>
          </w:tcPr>
          <w:p w14:paraId="3449F754" w14:textId="77777777" w:rsidR="00C33357" w:rsidRDefault="00000000">
            <w:pPr>
              <w:keepNext/>
              <w:keepLines/>
              <w:spacing w:after="0" w:line="240" w:lineRule="auto"/>
              <w:jc w:val="right"/>
            </w:pPr>
            <w:r>
              <w:rPr>
                <w:sz w:val="18"/>
              </w:rPr>
              <w:t>1.015.555,45</w:t>
            </w:r>
          </w:p>
        </w:tc>
        <w:tc>
          <w:tcPr>
            <w:tcW w:w="700" w:type="dxa"/>
            <w:tcMar>
              <w:top w:w="0" w:type="dxa"/>
              <w:bottom w:w="0" w:type="dxa"/>
            </w:tcMar>
            <w:vAlign w:val="center"/>
          </w:tcPr>
          <w:p w14:paraId="14A2230A" w14:textId="77777777" w:rsidR="00C33357" w:rsidRDefault="00000000">
            <w:pPr>
              <w:keepNext/>
              <w:keepLines/>
              <w:spacing w:after="0" w:line="240" w:lineRule="auto"/>
              <w:jc w:val="right"/>
            </w:pPr>
            <w:r>
              <w:rPr>
                <w:sz w:val="18"/>
              </w:rPr>
              <w:t>127,3</w:t>
            </w:r>
          </w:p>
        </w:tc>
      </w:tr>
    </w:tbl>
    <w:p w14:paraId="1287DC76" w14:textId="77777777" w:rsidR="00C33357" w:rsidRDefault="00C33357">
      <w:pPr>
        <w:spacing w:after="0"/>
      </w:pPr>
    </w:p>
    <w:p w14:paraId="012165E0" w14:textId="77777777" w:rsidR="00C33357" w:rsidRDefault="00000000">
      <w:pPr>
        <w:spacing w:line="240" w:lineRule="auto"/>
        <w:jc w:val="both"/>
      </w:pPr>
      <w:r>
        <w:t>Redovan rad uvećan je za 27,3 % zbog povećanja plaća u 2025. godini prema novoj reformi plaća te je ukinut konto 193 za plaću za lipanj.</w:t>
      </w:r>
    </w:p>
    <w:p w14:paraId="794DEF07" w14:textId="77777777" w:rsidR="00C33357" w:rsidRDefault="00C33357"/>
    <w:p w14:paraId="3DD7E9A3" w14:textId="77777777" w:rsidR="00C33357"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3AD6FA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AEE9B"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10625C"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A4A27"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B6EC5"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542AD"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8BA8C9" w14:textId="77777777" w:rsidR="00C33357" w:rsidRDefault="00000000">
            <w:pPr>
              <w:keepNext/>
              <w:keepLines/>
              <w:spacing w:after="0" w:line="240" w:lineRule="auto"/>
              <w:jc w:val="center"/>
            </w:pPr>
            <w:r>
              <w:rPr>
                <w:b/>
                <w:sz w:val="18"/>
              </w:rPr>
              <w:t>Indeks (%)</w:t>
            </w:r>
          </w:p>
        </w:tc>
      </w:tr>
      <w:tr w:rsidR="00C33357" w14:paraId="2A37837F" w14:textId="77777777">
        <w:tblPrEx>
          <w:tblCellMar>
            <w:top w:w="0" w:type="dxa"/>
            <w:bottom w:w="0" w:type="dxa"/>
          </w:tblCellMar>
        </w:tblPrEx>
        <w:trPr>
          <w:cantSplit/>
          <w:trHeight w:val="560"/>
        </w:trPr>
        <w:tc>
          <w:tcPr>
            <w:tcW w:w="700" w:type="dxa"/>
            <w:tcMar>
              <w:top w:w="0" w:type="dxa"/>
              <w:bottom w:w="0" w:type="dxa"/>
            </w:tcMar>
            <w:vAlign w:val="center"/>
          </w:tcPr>
          <w:p w14:paraId="6462D3F0" w14:textId="77777777" w:rsidR="00C33357" w:rsidRDefault="00000000">
            <w:pPr>
              <w:keepNext/>
              <w:keepLines/>
              <w:spacing w:after="0" w:line="240" w:lineRule="auto"/>
            </w:pPr>
            <w:r>
              <w:rPr>
                <w:sz w:val="18"/>
              </w:rPr>
              <w:t>3113</w:t>
            </w:r>
          </w:p>
        </w:tc>
        <w:tc>
          <w:tcPr>
            <w:tcW w:w="3180" w:type="dxa"/>
            <w:tcMar>
              <w:top w:w="0" w:type="dxa"/>
              <w:bottom w:w="0" w:type="dxa"/>
            </w:tcMar>
            <w:vAlign w:val="center"/>
          </w:tcPr>
          <w:p w14:paraId="3E698E5B" w14:textId="77777777" w:rsidR="00C33357" w:rsidRDefault="00000000">
            <w:pPr>
              <w:keepNext/>
              <w:keepLines/>
              <w:spacing w:after="0" w:line="240" w:lineRule="auto"/>
            </w:pPr>
            <w:r>
              <w:rPr>
                <w:sz w:val="18"/>
              </w:rPr>
              <w:t>Plaće za prekovremeni rad</w:t>
            </w:r>
          </w:p>
        </w:tc>
        <w:tc>
          <w:tcPr>
            <w:tcW w:w="700" w:type="dxa"/>
            <w:tcMar>
              <w:top w:w="0" w:type="dxa"/>
              <w:bottom w:w="0" w:type="dxa"/>
            </w:tcMar>
            <w:vAlign w:val="center"/>
          </w:tcPr>
          <w:p w14:paraId="72870FAC" w14:textId="77777777" w:rsidR="00C33357" w:rsidRDefault="00000000">
            <w:pPr>
              <w:keepNext/>
              <w:keepLines/>
              <w:spacing w:after="0" w:line="240" w:lineRule="auto"/>
            </w:pPr>
            <w:r>
              <w:rPr>
                <w:sz w:val="18"/>
              </w:rPr>
              <w:t>3113</w:t>
            </w:r>
          </w:p>
        </w:tc>
        <w:tc>
          <w:tcPr>
            <w:tcW w:w="1860" w:type="dxa"/>
            <w:tcMar>
              <w:top w:w="0" w:type="dxa"/>
              <w:bottom w:w="0" w:type="dxa"/>
            </w:tcMar>
            <w:vAlign w:val="center"/>
          </w:tcPr>
          <w:p w14:paraId="427138CA" w14:textId="77777777" w:rsidR="00C33357" w:rsidRDefault="00000000">
            <w:pPr>
              <w:keepNext/>
              <w:keepLines/>
              <w:spacing w:after="0" w:line="240" w:lineRule="auto"/>
              <w:jc w:val="right"/>
            </w:pPr>
            <w:r>
              <w:rPr>
                <w:sz w:val="18"/>
              </w:rPr>
              <w:t>17.518,38</w:t>
            </w:r>
          </w:p>
        </w:tc>
        <w:tc>
          <w:tcPr>
            <w:tcW w:w="1860" w:type="dxa"/>
            <w:tcMar>
              <w:top w:w="0" w:type="dxa"/>
              <w:bottom w:w="0" w:type="dxa"/>
            </w:tcMar>
            <w:vAlign w:val="center"/>
          </w:tcPr>
          <w:p w14:paraId="0C9C683D" w14:textId="77777777" w:rsidR="00C33357" w:rsidRDefault="00000000">
            <w:pPr>
              <w:keepNext/>
              <w:keepLines/>
              <w:spacing w:after="0" w:line="240" w:lineRule="auto"/>
              <w:jc w:val="right"/>
            </w:pPr>
            <w:r>
              <w:rPr>
                <w:sz w:val="18"/>
              </w:rPr>
              <w:t>19.023,21</w:t>
            </w:r>
          </w:p>
        </w:tc>
        <w:tc>
          <w:tcPr>
            <w:tcW w:w="700" w:type="dxa"/>
            <w:tcMar>
              <w:top w:w="0" w:type="dxa"/>
              <w:bottom w:w="0" w:type="dxa"/>
            </w:tcMar>
            <w:vAlign w:val="center"/>
          </w:tcPr>
          <w:p w14:paraId="6757B13E" w14:textId="77777777" w:rsidR="00C33357" w:rsidRDefault="00000000">
            <w:pPr>
              <w:keepNext/>
              <w:keepLines/>
              <w:spacing w:after="0" w:line="240" w:lineRule="auto"/>
              <w:jc w:val="right"/>
            </w:pPr>
            <w:r>
              <w:rPr>
                <w:sz w:val="18"/>
              </w:rPr>
              <w:t>108,6</w:t>
            </w:r>
          </w:p>
        </w:tc>
      </w:tr>
    </w:tbl>
    <w:p w14:paraId="2EBC6F29" w14:textId="77777777" w:rsidR="00C33357" w:rsidRDefault="00C33357">
      <w:pPr>
        <w:spacing w:after="0"/>
      </w:pPr>
    </w:p>
    <w:p w14:paraId="0E015170" w14:textId="77777777" w:rsidR="00C33357" w:rsidRDefault="00000000">
      <w:pPr>
        <w:spacing w:line="240" w:lineRule="auto"/>
        <w:jc w:val="both"/>
      </w:pPr>
      <w:r>
        <w:t>Prekovremeni rad povećan je  za 8,6 % zbog veće cijene sata za prekovremeni rad prema novoj reformi plaća u 2025. godini.</w:t>
      </w:r>
    </w:p>
    <w:p w14:paraId="639DEB7C" w14:textId="77777777" w:rsidR="00C33357" w:rsidRDefault="00C33357"/>
    <w:p w14:paraId="3C5FDDEC" w14:textId="77777777" w:rsidR="00C33357"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5838F5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D17376"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474FB5"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C9A46C"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B5C2FC"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063236"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C1146A" w14:textId="77777777" w:rsidR="00C33357" w:rsidRDefault="00000000">
            <w:pPr>
              <w:keepNext/>
              <w:keepLines/>
              <w:spacing w:after="0" w:line="240" w:lineRule="auto"/>
              <w:jc w:val="center"/>
            </w:pPr>
            <w:r>
              <w:rPr>
                <w:b/>
                <w:sz w:val="18"/>
              </w:rPr>
              <w:t>Indeks (%)</w:t>
            </w:r>
          </w:p>
        </w:tc>
      </w:tr>
      <w:tr w:rsidR="00C33357" w14:paraId="01386004" w14:textId="77777777">
        <w:tblPrEx>
          <w:tblCellMar>
            <w:top w:w="0" w:type="dxa"/>
            <w:bottom w:w="0" w:type="dxa"/>
          </w:tblCellMar>
        </w:tblPrEx>
        <w:trPr>
          <w:cantSplit/>
          <w:trHeight w:val="560"/>
        </w:trPr>
        <w:tc>
          <w:tcPr>
            <w:tcW w:w="700" w:type="dxa"/>
            <w:tcMar>
              <w:top w:w="0" w:type="dxa"/>
              <w:bottom w:w="0" w:type="dxa"/>
            </w:tcMar>
            <w:vAlign w:val="center"/>
          </w:tcPr>
          <w:p w14:paraId="1C289B04" w14:textId="77777777" w:rsidR="00C33357" w:rsidRDefault="00000000">
            <w:pPr>
              <w:keepNext/>
              <w:keepLines/>
              <w:spacing w:after="0" w:line="240" w:lineRule="auto"/>
            </w:pPr>
            <w:r>
              <w:rPr>
                <w:sz w:val="18"/>
              </w:rPr>
              <w:t>3114</w:t>
            </w:r>
          </w:p>
        </w:tc>
        <w:tc>
          <w:tcPr>
            <w:tcW w:w="3180" w:type="dxa"/>
            <w:tcMar>
              <w:top w:w="0" w:type="dxa"/>
              <w:bottom w:w="0" w:type="dxa"/>
            </w:tcMar>
            <w:vAlign w:val="center"/>
          </w:tcPr>
          <w:p w14:paraId="5CCFB9D3" w14:textId="77777777" w:rsidR="00C33357"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2818B789" w14:textId="77777777" w:rsidR="00C33357" w:rsidRDefault="00000000">
            <w:pPr>
              <w:keepNext/>
              <w:keepLines/>
              <w:spacing w:after="0" w:line="240" w:lineRule="auto"/>
            </w:pPr>
            <w:r>
              <w:rPr>
                <w:sz w:val="18"/>
              </w:rPr>
              <w:t>3114</w:t>
            </w:r>
          </w:p>
        </w:tc>
        <w:tc>
          <w:tcPr>
            <w:tcW w:w="1860" w:type="dxa"/>
            <w:tcMar>
              <w:top w:w="0" w:type="dxa"/>
              <w:bottom w:w="0" w:type="dxa"/>
            </w:tcMar>
            <w:vAlign w:val="center"/>
          </w:tcPr>
          <w:p w14:paraId="5745BB1D" w14:textId="77777777" w:rsidR="00C33357" w:rsidRDefault="00000000">
            <w:pPr>
              <w:keepNext/>
              <w:keepLines/>
              <w:spacing w:after="0" w:line="240" w:lineRule="auto"/>
              <w:jc w:val="right"/>
            </w:pPr>
            <w:r>
              <w:rPr>
                <w:sz w:val="18"/>
              </w:rPr>
              <w:t>16.315,29</w:t>
            </w:r>
          </w:p>
        </w:tc>
        <w:tc>
          <w:tcPr>
            <w:tcW w:w="1860" w:type="dxa"/>
            <w:tcMar>
              <w:top w:w="0" w:type="dxa"/>
              <w:bottom w:w="0" w:type="dxa"/>
            </w:tcMar>
            <w:vAlign w:val="center"/>
          </w:tcPr>
          <w:p w14:paraId="29283827" w14:textId="77777777" w:rsidR="00C33357" w:rsidRDefault="00000000">
            <w:pPr>
              <w:keepNext/>
              <w:keepLines/>
              <w:spacing w:after="0" w:line="240" w:lineRule="auto"/>
              <w:jc w:val="right"/>
            </w:pPr>
            <w:r>
              <w:rPr>
                <w:sz w:val="18"/>
              </w:rPr>
              <w:t>55.973,33</w:t>
            </w:r>
          </w:p>
        </w:tc>
        <w:tc>
          <w:tcPr>
            <w:tcW w:w="700" w:type="dxa"/>
            <w:tcMar>
              <w:top w:w="0" w:type="dxa"/>
              <w:bottom w:w="0" w:type="dxa"/>
            </w:tcMar>
            <w:vAlign w:val="center"/>
          </w:tcPr>
          <w:p w14:paraId="06FF0A3C" w14:textId="77777777" w:rsidR="00C33357" w:rsidRDefault="00000000">
            <w:pPr>
              <w:keepNext/>
              <w:keepLines/>
              <w:spacing w:after="0" w:line="240" w:lineRule="auto"/>
              <w:jc w:val="right"/>
            </w:pPr>
            <w:r>
              <w:rPr>
                <w:sz w:val="18"/>
              </w:rPr>
              <w:t>343,1</w:t>
            </w:r>
          </w:p>
        </w:tc>
      </w:tr>
    </w:tbl>
    <w:p w14:paraId="6AC8201D" w14:textId="77777777" w:rsidR="00C33357" w:rsidRDefault="00C33357">
      <w:pPr>
        <w:spacing w:after="0"/>
      </w:pPr>
    </w:p>
    <w:p w14:paraId="1A84EE40" w14:textId="77777777" w:rsidR="00C33357" w:rsidRDefault="00000000">
      <w:pPr>
        <w:spacing w:line="240" w:lineRule="auto"/>
        <w:jc w:val="both"/>
      </w:pPr>
      <w:r>
        <w:t>Plaće za posebne uvjete rada povećane su za 243,10 % u odnosu na isto izvještajno razdoblje prošle godine zbog nove reforme plaće, no posebni uvjeti rada su u Centru učestali zbog rada s djecom s posebnim potrebama i teškoćama u razvoju.</w:t>
      </w:r>
    </w:p>
    <w:p w14:paraId="78B4DA0C" w14:textId="77777777" w:rsidR="00C33357" w:rsidRDefault="00C33357"/>
    <w:p w14:paraId="4D1E0588" w14:textId="77777777" w:rsidR="00C33357"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BA651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C6FFF6"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5633C4"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CD746"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B4F94"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18AE9E"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EFB2AC" w14:textId="77777777" w:rsidR="00C33357" w:rsidRDefault="00000000">
            <w:pPr>
              <w:keepNext/>
              <w:keepLines/>
              <w:spacing w:after="0" w:line="240" w:lineRule="auto"/>
              <w:jc w:val="center"/>
            </w:pPr>
            <w:r>
              <w:rPr>
                <w:b/>
                <w:sz w:val="18"/>
              </w:rPr>
              <w:t>Indeks (%)</w:t>
            </w:r>
          </w:p>
        </w:tc>
      </w:tr>
      <w:tr w:rsidR="00C33357" w14:paraId="7786AE4A" w14:textId="77777777">
        <w:tblPrEx>
          <w:tblCellMar>
            <w:top w:w="0" w:type="dxa"/>
            <w:bottom w:w="0" w:type="dxa"/>
          </w:tblCellMar>
        </w:tblPrEx>
        <w:trPr>
          <w:cantSplit/>
          <w:trHeight w:val="560"/>
        </w:trPr>
        <w:tc>
          <w:tcPr>
            <w:tcW w:w="700" w:type="dxa"/>
            <w:tcMar>
              <w:top w:w="0" w:type="dxa"/>
              <w:bottom w:w="0" w:type="dxa"/>
            </w:tcMar>
            <w:vAlign w:val="center"/>
          </w:tcPr>
          <w:p w14:paraId="0680D830" w14:textId="77777777" w:rsidR="00C33357" w:rsidRDefault="00000000">
            <w:pPr>
              <w:keepNext/>
              <w:keepLines/>
              <w:spacing w:after="0" w:line="240" w:lineRule="auto"/>
            </w:pPr>
            <w:r>
              <w:rPr>
                <w:sz w:val="18"/>
              </w:rPr>
              <w:t>312</w:t>
            </w:r>
          </w:p>
        </w:tc>
        <w:tc>
          <w:tcPr>
            <w:tcW w:w="3180" w:type="dxa"/>
            <w:tcMar>
              <w:top w:w="0" w:type="dxa"/>
              <w:bottom w:w="0" w:type="dxa"/>
            </w:tcMar>
            <w:vAlign w:val="center"/>
          </w:tcPr>
          <w:p w14:paraId="17F26934" w14:textId="77777777" w:rsidR="00C33357"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49BAB978" w14:textId="77777777" w:rsidR="00C33357" w:rsidRDefault="00000000">
            <w:pPr>
              <w:keepNext/>
              <w:keepLines/>
              <w:spacing w:after="0" w:line="240" w:lineRule="auto"/>
            </w:pPr>
            <w:r>
              <w:rPr>
                <w:sz w:val="18"/>
              </w:rPr>
              <w:t>312</w:t>
            </w:r>
          </w:p>
        </w:tc>
        <w:tc>
          <w:tcPr>
            <w:tcW w:w="1860" w:type="dxa"/>
            <w:tcMar>
              <w:top w:w="0" w:type="dxa"/>
              <w:bottom w:w="0" w:type="dxa"/>
            </w:tcMar>
            <w:vAlign w:val="center"/>
          </w:tcPr>
          <w:p w14:paraId="1B6A18AC" w14:textId="77777777" w:rsidR="00C33357" w:rsidRDefault="00000000">
            <w:pPr>
              <w:keepNext/>
              <w:keepLines/>
              <w:spacing w:after="0" w:line="240" w:lineRule="auto"/>
              <w:jc w:val="right"/>
            </w:pPr>
            <w:r>
              <w:rPr>
                <w:sz w:val="18"/>
              </w:rPr>
              <w:t>34.026,46</w:t>
            </w:r>
          </w:p>
        </w:tc>
        <w:tc>
          <w:tcPr>
            <w:tcW w:w="1860" w:type="dxa"/>
            <w:tcMar>
              <w:top w:w="0" w:type="dxa"/>
              <w:bottom w:w="0" w:type="dxa"/>
            </w:tcMar>
            <w:vAlign w:val="center"/>
          </w:tcPr>
          <w:p w14:paraId="50413D6C" w14:textId="77777777" w:rsidR="00C33357" w:rsidRDefault="00000000">
            <w:pPr>
              <w:keepNext/>
              <w:keepLines/>
              <w:spacing w:after="0" w:line="240" w:lineRule="auto"/>
              <w:jc w:val="right"/>
            </w:pPr>
            <w:r>
              <w:rPr>
                <w:sz w:val="18"/>
              </w:rPr>
              <w:t>33.327,39</w:t>
            </w:r>
          </w:p>
        </w:tc>
        <w:tc>
          <w:tcPr>
            <w:tcW w:w="700" w:type="dxa"/>
            <w:tcMar>
              <w:top w:w="0" w:type="dxa"/>
              <w:bottom w:w="0" w:type="dxa"/>
            </w:tcMar>
            <w:vAlign w:val="center"/>
          </w:tcPr>
          <w:p w14:paraId="71DE4840" w14:textId="77777777" w:rsidR="00C33357" w:rsidRDefault="00000000">
            <w:pPr>
              <w:keepNext/>
              <w:keepLines/>
              <w:spacing w:after="0" w:line="240" w:lineRule="auto"/>
              <w:jc w:val="right"/>
            </w:pPr>
            <w:r>
              <w:rPr>
                <w:sz w:val="18"/>
              </w:rPr>
              <w:t>97,9</w:t>
            </w:r>
          </w:p>
        </w:tc>
      </w:tr>
    </w:tbl>
    <w:p w14:paraId="04D95495" w14:textId="77777777" w:rsidR="00C33357" w:rsidRDefault="00C33357">
      <w:pPr>
        <w:spacing w:after="0"/>
      </w:pPr>
    </w:p>
    <w:p w14:paraId="208E89CF" w14:textId="77777777" w:rsidR="00C33357" w:rsidRDefault="00000000">
      <w:pPr>
        <w:spacing w:line="240" w:lineRule="auto"/>
        <w:jc w:val="both"/>
      </w:pPr>
      <w:r>
        <w:t>Ostali rashodi odnose se na materijalna prava djelatnika, na otpremninu, regres iz prethodne godine, jubilarne nagrade i bolovanje duže od 90 dana. Rashodi su u odnosu na isto razdoblje prethodne godine ostali gotovo jednaki.</w:t>
      </w:r>
    </w:p>
    <w:p w14:paraId="17498E16" w14:textId="77777777" w:rsidR="00C33357" w:rsidRDefault="00C33357"/>
    <w:p w14:paraId="7BDCAB32" w14:textId="77777777" w:rsidR="00C33357"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10EA5B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A088C2"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AB7463"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9CC1C0"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196AD"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BE3FF8"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A8CDC2" w14:textId="77777777" w:rsidR="00C33357" w:rsidRDefault="00000000">
            <w:pPr>
              <w:keepNext/>
              <w:keepLines/>
              <w:spacing w:after="0" w:line="240" w:lineRule="auto"/>
              <w:jc w:val="center"/>
            </w:pPr>
            <w:r>
              <w:rPr>
                <w:b/>
                <w:sz w:val="18"/>
              </w:rPr>
              <w:t>Indeks (%)</w:t>
            </w:r>
          </w:p>
        </w:tc>
      </w:tr>
      <w:tr w:rsidR="00C33357" w14:paraId="7EDCA69F" w14:textId="77777777">
        <w:tblPrEx>
          <w:tblCellMar>
            <w:top w:w="0" w:type="dxa"/>
            <w:bottom w:w="0" w:type="dxa"/>
          </w:tblCellMar>
        </w:tblPrEx>
        <w:trPr>
          <w:cantSplit/>
          <w:trHeight w:val="560"/>
        </w:trPr>
        <w:tc>
          <w:tcPr>
            <w:tcW w:w="700" w:type="dxa"/>
            <w:tcMar>
              <w:top w:w="0" w:type="dxa"/>
              <w:bottom w:w="0" w:type="dxa"/>
            </w:tcMar>
            <w:vAlign w:val="center"/>
          </w:tcPr>
          <w:p w14:paraId="09D65644" w14:textId="77777777" w:rsidR="00C33357" w:rsidRDefault="00000000">
            <w:pPr>
              <w:keepNext/>
              <w:keepLines/>
              <w:spacing w:after="0" w:line="240" w:lineRule="auto"/>
            </w:pPr>
            <w:r>
              <w:rPr>
                <w:sz w:val="18"/>
              </w:rPr>
              <w:t>3132</w:t>
            </w:r>
          </w:p>
        </w:tc>
        <w:tc>
          <w:tcPr>
            <w:tcW w:w="3180" w:type="dxa"/>
            <w:tcMar>
              <w:top w:w="0" w:type="dxa"/>
              <w:bottom w:w="0" w:type="dxa"/>
            </w:tcMar>
            <w:vAlign w:val="center"/>
          </w:tcPr>
          <w:p w14:paraId="7EB83223" w14:textId="77777777" w:rsidR="00C33357"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7B6854D5" w14:textId="77777777" w:rsidR="00C33357" w:rsidRDefault="00000000">
            <w:pPr>
              <w:keepNext/>
              <w:keepLines/>
              <w:spacing w:after="0" w:line="240" w:lineRule="auto"/>
            </w:pPr>
            <w:r>
              <w:rPr>
                <w:sz w:val="18"/>
              </w:rPr>
              <w:t>3132</w:t>
            </w:r>
          </w:p>
        </w:tc>
        <w:tc>
          <w:tcPr>
            <w:tcW w:w="1860" w:type="dxa"/>
            <w:tcMar>
              <w:top w:w="0" w:type="dxa"/>
              <w:bottom w:w="0" w:type="dxa"/>
            </w:tcMar>
            <w:vAlign w:val="center"/>
          </w:tcPr>
          <w:p w14:paraId="6C8B73C6" w14:textId="77777777" w:rsidR="00C33357" w:rsidRDefault="00000000">
            <w:pPr>
              <w:keepNext/>
              <w:keepLines/>
              <w:spacing w:after="0" w:line="240" w:lineRule="auto"/>
              <w:jc w:val="right"/>
            </w:pPr>
            <w:r>
              <w:rPr>
                <w:sz w:val="18"/>
              </w:rPr>
              <w:t>132.548,71</w:t>
            </w:r>
          </w:p>
        </w:tc>
        <w:tc>
          <w:tcPr>
            <w:tcW w:w="1860" w:type="dxa"/>
            <w:tcMar>
              <w:top w:w="0" w:type="dxa"/>
              <w:bottom w:w="0" w:type="dxa"/>
            </w:tcMar>
            <w:vAlign w:val="center"/>
          </w:tcPr>
          <w:p w14:paraId="3CE571A2" w14:textId="77777777" w:rsidR="00C33357" w:rsidRDefault="00000000">
            <w:pPr>
              <w:keepNext/>
              <w:keepLines/>
              <w:spacing w:after="0" w:line="240" w:lineRule="auto"/>
              <w:jc w:val="right"/>
            </w:pPr>
            <w:r>
              <w:rPr>
                <w:sz w:val="18"/>
              </w:rPr>
              <w:t>170.879,58</w:t>
            </w:r>
          </w:p>
        </w:tc>
        <w:tc>
          <w:tcPr>
            <w:tcW w:w="700" w:type="dxa"/>
            <w:tcMar>
              <w:top w:w="0" w:type="dxa"/>
              <w:bottom w:w="0" w:type="dxa"/>
            </w:tcMar>
            <w:vAlign w:val="center"/>
          </w:tcPr>
          <w:p w14:paraId="494533AF" w14:textId="77777777" w:rsidR="00C33357" w:rsidRDefault="00000000">
            <w:pPr>
              <w:keepNext/>
              <w:keepLines/>
              <w:spacing w:after="0" w:line="240" w:lineRule="auto"/>
              <w:jc w:val="right"/>
            </w:pPr>
            <w:r>
              <w:rPr>
                <w:sz w:val="18"/>
              </w:rPr>
              <w:t>128,9</w:t>
            </w:r>
          </w:p>
        </w:tc>
      </w:tr>
    </w:tbl>
    <w:p w14:paraId="71F13119" w14:textId="77777777" w:rsidR="00C33357" w:rsidRDefault="00C33357">
      <w:pPr>
        <w:spacing w:after="0"/>
      </w:pPr>
    </w:p>
    <w:p w14:paraId="4CF5785A" w14:textId="77777777" w:rsidR="00C33357" w:rsidRDefault="00000000">
      <w:pPr>
        <w:spacing w:line="240" w:lineRule="auto"/>
        <w:jc w:val="both"/>
      </w:pPr>
      <w:r>
        <w:t>Doprinosi za zdravstveno osiguranje uvećani su za 28,9 % zbog povećanja bruto plaća u 2025. godini prema novoj reformi plaće, te je shodno time i veći iznos doprinosa za zdravstveno osiguranje.</w:t>
      </w:r>
    </w:p>
    <w:p w14:paraId="001700AC" w14:textId="77777777" w:rsidR="00C33357" w:rsidRDefault="00C33357"/>
    <w:p w14:paraId="0D817026" w14:textId="77777777" w:rsidR="00C33357"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B5187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B814FC"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09CB00"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DA342"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CCFCE"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2CC77D"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EDBBFB" w14:textId="77777777" w:rsidR="00C33357" w:rsidRDefault="00000000">
            <w:pPr>
              <w:keepNext/>
              <w:keepLines/>
              <w:spacing w:after="0" w:line="240" w:lineRule="auto"/>
              <w:jc w:val="center"/>
            </w:pPr>
            <w:r>
              <w:rPr>
                <w:b/>
                <w:sz w:val="18"/>
              </w:rPr>
              <w:t>Indeks (%)</w:t>
            </w:r>
          </w:p>
        </w:tc>
      </w:tr>
      <w:tr w:rsidR="00C33357" w14:paraId="14A0BA26" w14:textId="77777777">
        <w:tblPrEx>
          <w:tblCellMar>
            <w:top w:w="0" w:type="dxa"/>
            <w:bottom w:w="0" w:type="dxa"/>
          </w:tblCellMar>
        </w:tblPrEx>
        <w:trPr>
          <w:cantSplit/>
          <w:trHeight w:val="560"/>
        </w:trPr>
        <w:tc>
          <w:tcPr>
            <w:tcW w:w="700" w:type="dxa"/>
            <w:tcMar>
              <w:top w:w="0" w:type="dxa"/>
              <w:bottom w:w="0" w:type="dxa"/>
            </w:tcMar>
            <w:vAlign w:val="center"/>
          </w:tcPr>
          <w:p w14:paraId="31C8AC32" w14:textId="77777777" w:rsidR="00C33357" w:rsidRDefault="00000000">
            <w:pPr>
              <w:keepNext/>
              <w:keepLines/>
              <w:spacing w:after="0" w:line="240" w:lineRule="auto"/>
            </w:pPr>
            <w:r>
              <w:rPr>
                <w:sz w:val="18"/>
              </w:rPr>
              <w:t>3211</w:t>
            </w:r>
          </w:p>
        </w:tc>
        <w:tc>
          <w:tcPr>
            <w:tcW w:w="3180" w:type="dxa"/>
            <w:tcMar>
              <w:top w:w="0" w:type="dxa"/>
              <w:bottom w:w="0" w:type="dxa"/>
            </w:tcMar>
            <w:vAlign w:val="center"/>
          </w:tcPr>
          <w:p w14:paraId="7A82BA86" w14:textId="77777777" w:rsidR="00C33357" w:rsidRDefault="00000000">
            <w:pPr>
              <w:keepNext/>
              <w:keepLines/>
              <w:spacing w:after="0" w:line="240" w:lineRule="auto"/>
            </w:pPr>
            <w:r>
              <w:rPr>
                <w:sz w:val="18"/>
              </w:rPr>
              <w:t>Službena putovanja</w:t>
            </w:r>
          </w:p>
        </w:tc>
        <w:tc>
          <w:tcPr>
            <w:tcW w:w="700" w:type="dxa"/>
            <w:tcMar>
              <w:top w:w="0" w:type="dxa"/>
              <w:bottom w:w="0" w:type="dxa"/>
            </w:tcMar>
            <w:vAlign w:val="center"/>
          </w:tcPr>
          <w:p w14:paraId="043AA803" w14:textId="77777777" w:rsidR="00C33357" w:rsidRDefault="00000000">
            <w:pPr>
              <w:keepNext/>
              <w:keepLines/>
              <w:spacing w:after="0" w:line="240" w:lineRule="auto"/>
            </w:pPr>
            <w:r>
              <w:rPr>
                <w:sz w:val="18"/>
              </w:rPr>
              <w:t>3211</w:t>
            </w:r>
          </w:p>
        </w:tc>
        <w:tc>
          <w:tcPr>
            <w:tcW w:w="1860" w:type="dxa"/>
            <w:tcMar>
              <w:top w:w="0" w:type="dxa"/>
              <w:bottom w:w="0" w:type="dxa"/>
            </w:tcMar>
            <w:vAlign w:val="center"/>
          </w:tcPr>
          <w:p w14:paraId="594C1BFB" w14:textId="77777777" w:rsidR="00C33357" w:rsidRDefault="00000000">
            <w:pPr>
              <w:keepNext/>
              <w:keepLines/>
              <w:spacing w:after="0" w:line="240" w:lineRule="auto"/>
              <w:jc w:val="right"/>
            </w:pPr>
            <w:r>
              <w:rPr>
                <w:sz w:val="18"/>
              </w:rPr>
              <w:t>8.098,02</w:t>
            </w:r>
          </w:p>
        </w:tc>
        <w:tc>
          <w:tcPr>
            <w:tcW w:w="1860" w:type="dxa"/>
            <w:tcMar>
              <w:top w:w="0" w:type="dxa"/>
              <w:bottom w:w="0" w:type="dxa"/>
            </w:tcMar>
            <w:vAlign w:val="center"/>
          </w:tcPr>
          <w:p w14:paraId="57DA626B" w14:textId="77777777" w:rsidR="00C33357" w:rsidRDefault="00000000">
            <w:pPr>
              <w:keepNext/>
              <w:keepLines/>
              <w:spacing w:after="0" w:line="240" w:lineRule="auto"/>
              <w:jc w:val="right"/>
            </w:pPr>
            <w:r>
              <w:rPr>
                <w:sz w:val="18"/>
              </w:rPr>
              <w:t>6.305,57</w:t>
            </w:r>
          </w:p>
        </w:tc>
        <w:tc>
          <w:tcPr>
            <w:tcW w:w="700" w:type="dxa"/>
            <w:tcMar>
              <w:top w:w="0" w:type="dxa"/>
              <w:bottom w:w="0" w:type="dxa"/>
            </w:tcMar>
            <w:vAlign w:val="center"/>
          </w:tcPr>
          <w:p w14:paraId="6FFE94D6" w14:textId="77777777" w:rsidR="00C33357" w:rsidRDefault="00000000">
            <w:pPr>
              <w:keepNext/>
              <w:keepLines/>
              <w:spacing w:after="0" w:line="240" w:lineRule="auto"/>
              <w:jc w:val="right"/>
            </w:pPr>
            <w:r>
              <w:rPr>
                <w:sz w:val="18"/>
              </w:rPr>
              <w:t>77,9</w:t>
            </w:r>
          </w:p>
        </w:tc>
      </w:tr>
    </w:tbl>
    <w:p w14:paraId="75120690" w14:textId="77777777" w:rsidR="00C33357" w:rsidRDefault="00C33357">
      <w:pPr>
        <w:spacing w:after="0"/>
      </w:pPr>
    </w:p>
    <w:p w14:paraId="4F92BC72" w14:textId="77777777" w:rsidR="00C33357" w:rsidRDefault="00000000">
      <w:pPr>
        <w:spacing w:line="240" w:lineRule="auto"/>
        <w:jc w:val="both"/>
      </w:pPr>
      <w:r>
        <w:t>Broj službenih putovanja je u ovom izvještajnom razdoblju u 2025. godini manji nego prethodne godine; odlazak na stručna usavršavanja smanjio se za 22,1 %.</w:t>
      </w:r>
    </w:p>
    <w:p w14:paraId="4B543E40" w14:textId="77777777" w:rsidR="00C33357" w:rsidRDefault="00C33357"/>
    <w:p w14:paraId="79E4F91C" w14:textId="77777777" w:rsidR="00C33357"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F8BCA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59B89"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9CB40F"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B45C65"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96A53"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80F7F9"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B5F52E" w14:textId="77777777" w:rsidR="00C33357" w:rsidRDefault="00000000">
            <w:pPr>
              <w:keepNext/>
              <w:keepLines/>
              <w:spacing w:after="0" w:line="240" w:lineRule="auto"/>
              <w:jc w:val="center"/>
            </w:pPr>
            <w:r>
              <w:rPr>
                <w:b/>
                <w:sz w:val="18"/>
              </w:rPr>
              <w:t>Indeks (%)</w:t>
            </w:r>
          </w:p>
        </w:tc>
      </w:tr>
      <w:tr w:rsidR="00C33357" w14:paraId="0AA8A959" w14:textId="77777777">
        <w:tblPrEx>
          <w:tblCellMar>
            <w:top w:w="0" w:type="dxa"/>
            <w:bottom w:w="0" w:type="dxa"/>
          </w:tblCellMar>
        </w:tblPrEx>
        <w:trPr>
          <w:cantSplit/>
          <w:trHeight w:val="560"/>
        </w:trPr>
        <w:tc>
          <w:tcPr>
            <w:tcW w:w="700" w:type="dxa"/>
            <w:tcMar>
              <w:top w:w="0" w:type="dxa"/>
              <w:bottom w:w="0" w:type="dxa"/>
            </w:tcMar>
            <w:vAlign w:val="center"/>
          </w:tcPr>
          <w:p w14:paraId="60F2625D" w14:textId="77777777" w:rsidR="00C33357" w:rsidRDefault="00000000">
            <w:pPr>
              <w:keepNext/>
              <w:keepLines/>
              <w:spacing w:after="0" w:line="240" w:lineRule="auto"/>
            </w:pPr>
            <w:r>
              <w:rPr>
                <w:sz w:val="18"/>
              </w:rPr>
              <w:t>3212</w:t>
            </w:r>
          </w:p>
        </w:tc>
        <w:tc>
          <w:tcPr>
            <w:tcW w:w="3180" w:type="dxa"/>
            <w:tcMar>
              <w:top w:w="0" w:type="dxa"/>
              <w:bottom w:w="0" w:type="dxa"/>
            </w:tcMar>
            <w:vAlign w:val="center"/>
          </w:tcPr>
          <w:p w14:paraId="4DB48125" w14:textId="77777777" w:rsidR="00C33357"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20CB4FD8" w14:textId="77777777" w:rsidR="00C33357" w:rsidRDefault="00000000">
            <w:pPr>
              <w:keepNext/>
              <w:keepLines/>
              <w:spacing w:after="0" w:line="240" w:lineRule="auto"/>
            </w:pPr>
            <w:r>
              <w:rPr>
                <w:sz w:val="18"/>
              </w:rPr>
              <w:t>3212</w:t>
            </w:r>
          </w:p>
        </w:tc>
        <w:tc>
          <w:tcPr>
            <w:tcW w:w="1860" w:type="dxa"/>
            <w:tcMar>
              <w:top w:w="0" w:type="dxa"/>
              <w:bottom w:w="0" w:type="dxa"/>
            </w:tcMar>
            <w:vAlign w:val="center"/>
          </w:tcPr>
          <w:p w14:paraId="32C2DE6C" w14:textId="77777777" w:rsidR="00C33357" w:rsidRDefault="00000000">
            <w:pPr>
              <w:keepNext/>
              <w:keepLines/>
              <w:spacing w:after="0" w:line="240" w:lineRule="auto"/>
              <w:jc w:val="right"/>
            </w:pPr>
            <w:r>
              <w:rPr>
                <w:sz w:val="18"/>
              </w:rPr>
              <w:t>38.859,24</w:t>
            </w:r>
          </w:p>
        </w:tc>
        <w:tc>
          <w:tcPr>
            <w:tcW w:w="1860" w:type="dxa"/>
            <w:tcMar>
              <w:top w:w="0" w:type="dxa"/>
              <w:bottom w:w="0" w:type="dxa"/>
            </w:tcMar>
            <w:vAlign w:val="center"/>
          </w:tcPr>
          <w:p w14:paraId="78DB9D9D" w14:textId="77777777" w:rsidR="00C33357" w:rsidRDefault="00000000">
            <w:pPr>
              <w:keepNext/>
              <w:keepLines/>
              <w:spacing w:after="0" w:line="240" w:lineRule="auto"/>
              <w:jc w:val="right"/>
            </w:pPr>
            <w:r>
              <w:rPr>
                <w:sz w:val="18"/>
              </w:rPr>
              <w:t>41.001,93</w:t>
            </w:r>
          </w:p>
        </w:tc>
        <w:tc>
          <w:tcPr>
            <w:tcW w:w="700" w:type="dxa"/>
            <w:tcMar>
              <w:top w:w="0" w:type="dxa"/>
              <w:bottom w:w="0" w:type="dxa"/>
            </w:tcMar>
            <w:vAlign w:val="center"/>
          </w:tcPr>
          <w:p w14:paraId="1C3A7BB6" w14:textId="77777777" w:rsidR="00C33357" w:rsidRDefault="00000000">
            <w:pPr>
              <w:keepNext/>
              <w:keepLines/>
              <w:spacing w:after="0" w:line="240" w:lineRule="auto"/>
              <w:jc w:val="right"/>
            </w:pPr>
            <w:r>
              <w:rPr>
                <w:sz w:val="18"/>
              </w:rPr>
              <w:t>105,5</w:t>
            </w:r>
          </w:p>
        </w:tc>
      </w:tr>
    </w:tbl>
    <w:p w14:paraId="03755F9A" w14:textId="77777777" w:rsidR="00C33357" w:rsidRDefault="00C33357">
      <w:pPr>
        <w:spacing w:after="0"/>
      </w:pPr>
    </w:p>
    <w:p w14:paraId="48E14720" w14:textId="77777777" w:rsidR="00C33357" w:rsidRDefault="00000000">
      <w:pPr>
        <w:spacing w:line="240" w:lineRule="auto"/>
        <w:jc w:val="both"/>
      </w:pPr>
      <w:r>
        <w:t>Troškovi prijevoza su se povećali u odnosu na razdoblje prethodne godine za 5,5 % zbog ukupnih povećanja troškova života, odnosno radi povećanja cijena javnih prijevoza.</w:t>
      </w:r>
    </w:p>
    <w:p w14:paraId="0572689A" w14:textId="77777777" w:rsidR="00C33357" w:rsidRDefault="00C33357"/>
    <w:p w14:paraId="1123847C" w14:textId="77777777" w:rsidR="00C33357"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E2CA6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9E46CA"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0E80A2"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9AB1B"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605FF"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0E3A5"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1A333E" w14:textId="77777777" w:rsidR="00C33357" w:rsidRDefault="00000000">
            <w:pPr>
              <w:keepNext/>
              <w:keepLines/>
              <w:spacing w:after="0" w:line="240" w:lineRule="auto"/>
              <w:jc w:val="center"/>
            </w:pPr>
            <w:r>
              <w:rPr>
                <w:b/>
                <w:sz w:val="18"/>
              </w:rPr>
              <w:t>Indeks (%)</w:t>
            </w:r>
          </w:p>
        </w:tc>
      </w:tr>
      <w:tr w:rsidR="00C33357" w14:paraId="1375DA2D" w14:textId="77777777">
        <w:tblPrEx>
          <w:tblCellMar>
            <w:top w:w="0" w:type="dxa"/>
            <w:bottom w:w="0" w:type="dxa"/>
          </w:tblCellMar>
        </w:tblPrEx>
        <w:trPr>
          <w:cantSplit/>
          <w:trHeight w:val="560"/>
        </w:trPr>
        <w:tc>
          <w:tcPr>
            <w:tcW w:w="700" w:type="dxa"/>
            <w:tcMar>
              <w:top w:w="0" w:type="dxa"/>
              <w:bottom w:w="0" w:type="dxa"/>
            </w:tcMar>
            <w:vAlign w:val="center"/>
          </w:tcPr>
          <w:p w14:paraId="41FEE8BC" w14:textId="77777777" w:rsidR="00C33357" w:rsidRDefault="00000000">
            <w:pPr>
              <w:keepNext/>
              <w:keepLines/>
              <w:spacing w:after="0" w:line="240" w:lineRule="auto"/>
            </w:pPr>
            <w:r>
              <w:rPr>
                <w:sz w:val="18"/>
              </w:rPr>
              <w:t>3213</w:t>
            </w:r>
          </w:p>
        </w:tc>
        <w:tc>
          <w:tcPr>
            <w:tcW w:w="3180" w:type="dxa"/>
            <w:tcMar>
              <w:top w:w="0" w:type="dxa"/>
              <w:bottom w:w="0" w:type="dxa"/>
            </w:tcMar>
            <w:vAlign w:val="center"/>
          </w:tcPr>
          <w:p w14:paraId="6B33490A" w14:textId="77777777" w:rsidR="00C33357"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985EF2F" w14:textId="77777777" w:rsidR="00C33357" w:rsidRDefault="00000000">
            <w:pPr>
              <w:keepNext/>
              <w:keepLines/>
              <w:spacing w:after="0" w:line="240" w:lineRule="auto"/>
            </w:pPr>
            <w:r>
              <w:rPr>
                <w:sz w:val="18"/>
              </w:rPr>
              <w:t>3213</w:t>
            </w:r>
          </w:p>
        </w:tc>
        <w:tc>
          <w:tcPr>
            <w:tcW w:w="1860" w:type="dxa"/>
            <w:tcMar>
              <w:top w:w="0" w:type="dxa"/>
              <w:bottom w:w="0" w:type="dxa"/>
            </w:tcMar>
            <w:vAlign w:val="center"/>
          </w:tcPr>
          <w:p w14:paraId="12359CF1" w14:textId="77777777" w:rsidR="00C33357" w:rsidRDefault="00000000">
            <w:pPr>
              <w:keepNext/>
              <w:keepLines/>
              <w:spacing w:after="0" w:line="240" w:lineRule="auto"/>
              <w:jc w:val="right"/>
            </w:pPr>
            <w:r>
              <w:rPr>
                <w:sz w:val="18"/>
              </w:rPr>
              <w:t>1.637,50</w:t>
            </w:r>
          </w:p>
        </w:tc>
        <w:tc>
          <w:tcPr>
            <w:tcW w:w="1860" w:type="dxa"/>
            <w:tcMar>
              <w:top w:w="0" w:type="dxa"/>
              <w:bottom w:w="0" w:type="dxa"/>
            </w:tcMar>
            <w:vAlign w:val="center"/>
          </w:tcPr>
          <w:p w14:paraId="2DD28C3D" w14:textId="77777777" w:rsidR="00C33357" w:rsidRDefault="00000000">
            <w:pPr>
              <w:keepNext/>
              <w:keepLines/>
              <w:spacing w:after="0" w:line="240" w:lineRule="auto"/>
              <w:jc w:val="right"/>
            </w:pPr>
            <w:r>
              <w:rPr>
                <w:sz w:val="18"/>
              </w:rPr>
              <w:t>180,00</w:t>
            </w:r>
          </w:p>
        </w:tc>
        <w:tc>
          <w:tcPr>
            <w:tcW w:w="700" w:type="dxa"/>
            <w:tcMar>
              <w:top w:w="0" w:type="dxa"/>
              <w:bottom w:w="0" w:type="dxa"/>
            </w:tcMar>
            <w:vAlign w:val="center"/>
          </w:tcPr>
          <w:p w14:paraId="015ACCF7" w14:textId="77777777" w:rsidR="00C33357" w:rsidRDefault="00000000">
            <w:pPr>
              <w:keepNext/>
              <w:keepLines/>
              <w:spacing w:after="0" w:line="240" w:lineRule="auto"/>
              <w:jc w:val="right"/>
            </w:pPr>
            <w:r>
              <w:rPr>
                <w:sz w:val="18"/>
              </w:rPr>
              <w:t>11,0</w:t>
            </w:r>
          </w:p>
        </w:tc>
      </w:tr>
    </w:tbl>
    <w:p w14:paraId="2B3FBDE7" w14:textId="77777777" w:rsidR="00C33357" w:rsidRDefault="00C33357">
      <w:pPr>
        <w:spacing w:after="0"/>
      </w:pPr>
    </w:p>
    <w:p w14:paraId="476505D2" w14:textId="77777777" w:rsidR="00C33357" w:rsidRDefault="00000000">
      <w:pPr>
        <w:spacing w:line="240" w:lineRule="auto"/>
        <w:jc w:val="both"/>
      </w:pPr>
      <w:r>
        <w:t>Rashodi za stručno usavršavanje zaposlenika u prvih šest mjeseci 2025. bili su vrlo mali, smanjili su se za 89 %.</w:t>
      </w:r>
    </w:p>
    <w:p w14:paraId="099D22A5" w14:textId="77777777" w:rsidR="00C33357" w:rsidRDefault="00C33357"/>
    <w:p w14:paraId="6C46CB89" w14:textId="77777777" w:rsidR="00C33357"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5B2DCF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FB3E6D"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6DEF3"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F3D3C9"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0B91D"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9A4103"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BCE1C4" w14:textId="77777777" w:rsidR="00C33357" w:rsidRDefault="00000000">
            <w:pPr>
              <w:keepNext/>
              <w:keepLines/>
              <w:spacing w:after="0" w:line="240" w:lineRule="auto"/>
              <w:jc w:val="center"/>
            </w:pPr>
            <w:r>
              <w:rPr>
                <w:b/>
                <w:sz w:val="18"/>
              </w:rPr>
              <w:t>Indeks (%)</w:t>
            </w:r>
          </w:p>
        </w:tc>
      </w:tr>
      <w:tr w:rsidR="00C33357" w14:paraId="28DEB772" w14:textId="77777777">
        <w:tblPrEx>
          <w:tblCellMar>
            <w:top w:w="0" w:type="dxa"/>
            <w:bottom w:w="0" w:type="dxa"/>
          </w:tblCellMar>
        </w:tblPrEx>
        <w:trPr>
          <w:cantSplit/>
          <w:trHeight w:val="560"/>
        </w:trPr>
        <w:tc>
          <w:tcPr>
            <w:tcW w:w="700" w:type="dxa"/>
            <w:tcMar>
              <w:top w:w="0" w:type="dxa"/>
              <w:bottom w:w="0" w:type="dxa"/>
            </w:tcMar>
            <w:vAlign w:val="center"/>
          </w:tcPr>
          <w:p w14:paraId="0773D8AA" w14:textId="77777777" w:rsidR="00C33357" w:rsidRDefault="00000000">
            <w:pPr>
              <w:keepNext/>
              <w:keepLines/>
              <w:spacing w:after="0" w:line="240" w:lineRule="auto"/>
            </w:pPr>
            <w:r>
              <w:rPr>
                <w:sz w:val="18"/>
              </w:rPr>
              <w:t>3221</w:t>
            </w:r>
          </w:p>
        </w:tc>
        <w:tc>
          <w:tcPr>
            <w:tcW w:w="3180" w:type="dxa"/>
            <w:tcMar>
              <w:top w:w="0" w:type="dxa"/>
              <w:bottom w:w="0" w:type="dxa"/>
            </w:tcMar>
            <w:vAlign w:val="center"/>
          </w:tcPr>
          <w:p w14:paraId="024B9727" w14:textId="77777777" w:rsidR="00C33357"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28F258C9" w14:textId="77777777" w:rsidR="00C33357" w:rsidRDefault="00000000">
            <w:pPr>
              <w:keepNext/>
              <w:keepLines/>
              <w:spacing w:after="0" w:line="240" w:lineRule="auto"/>
            </w:pPr>
            <w:r>
              <w:rPr>
                <w:sz w:val="18"/>
              </w:rPr>
              <w:t>3221</w:t>
            </w:r>
          </w:p>
        </w:tc>
        <w:tc>
          <w:tcPr>
            <w:tcW w:w="1860" w:type="dxa"/>
            <w:tcMar>
              <w:top w:w="0" w:type="dxa"/>
              <w:bottom w:w="0" w:type="dxa"/>
            </w:tcMar>
            <w:vAlign w:val="center"/>
          </w:tcPr>
          <w:p w14:paraId="7444D18A" w14:textId="77777777" w:rsidR="00C33357" w:rsidRDefault="00000000">
            <w:pPr>
              <w:keepNext/>
              <w:keepLines/>
              <w:spacing w:after="0" w:line="240" w:lineRule="auto"/>
              <w:jc w:val="right"/>
            </w:pPr>
            <w:r>
              <w:rPr>
                <w:sz w:val="18"/>
              </w:rPr>
              <w:t>20.396,71</w:t>
            </w:r>
          </w:p>
        </w:tc>
        <w:tc>
          <w:tcPr>
            <w:tcW w:w="1860" w:type="dxa"/>
            <w:tcMar>
              <w:top w:w="0" w:type="dxa"/>
              <w:bottom w:w="0" w:type="dxa"/>
            </w:tcMar>
            <w:vAlign w:val="center"/>
          </w:tcPr>
          <w:p w14:paraId="0F2786A9" w14:textId="77777777" w:rsidR="00C33357" w:rsidRDefault="00000000">
            <w:pPr>
              <w:keepNext/>
              <w:keepLines/>
              <w:spacing w:after="0" w:line="240" w:lineRule="auto"/>
              <w:jc w:val="right"/>
            </w:pPr>
            <w:r>
              <w:rPr>
                <w:sz w:val="18"/>
              </w:rPr>
              <w:t>13.843,62</w:t>
            </w:r>
          </w:p>
        </w:tc>
        <w:tc>
          <w:tcPr>
            <w:tcW w:w="700" w:type="dxa"/>
            <w:tcMar>
              <w:top w:w="0" w:type="dxa"/>
              <w:bottom w:w="0" w:type="dxa"/>
            </w:tcMar>
            <w:vAlign w:val="center"/>
          </w:tcPr>
          <w:p w14:paraId="7A65A7AE" w14:textId="77777777" w:rsidR="00C33357" w:rsidRDefault="00000000">
            <w:pPr>
              <w:keepNext/>
              <w:keepLines/>
              <w:spacing w:after="0" w:line="240" w:lineRule="auto"/>
              <w:jc w:val="right"/>
            </w:pPr>
            <w:r>
              <w:rPr>
                <w:sz w:val="18"/>
              </w:rPr>
              <w:t>67,9</w:t>
            </w:r>
          </w:p>
        </w:tc>
      </w:tr>
    </w:tbl>
    <w:p w14:paraId="0330665C" w14:textId="77777777" w:rsidR="00C33357" w:rsidRDefault="00C33357">
      <w:pPr>
        <w:spacing w:after="0"/>
      </w:pPr>
    </w:p>
    <w:p w14:paraId="72D39802" w14:textId="77777777" w:rsidR="00C33357" w:rsidRDefault="00000000">
      <w:pPr>
        <w:spacing w:line="240" w:lineRule="auto"/>
        <w:jc w:val="both"/>
      </w:pPr>
      <w:r>
        <w:t>Rashodi za uredski materijal smanjeni su za 32,1 % u odnosu na isto izvještajno razdoblje prethodne godine zbog savjesnog trošenja materijala za nastavu i ostalog materijala potrebnog za rad, materijala i sredstva za čišćenje, higijenskog materijala, a materijal se nabavljao od dobavljača koji su specijalizirani za ovu vrstu robe i s kojima imamo ugovor.</w:t>
      </w:r>
    </w:p>
    <w:p w14:paraId="3A7B7499" w14:textId="77777777" w:rsidR="00C33357" w:rsidRDefault="00C33357"/>
    <w:p w14:paraId="2D34E355" w14:textId="77777777" w:rsidR="00C33357"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3B50DD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01EDDF"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0F747B"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45ED0"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61A05"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80FE17"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A0B51D" w14:textId="77777777" w:rsidR="00C33357" w:rsidRDefault="00000000">
            <w:pPr>
              <w:keepNext/>
              <w:keepLines/>
              <w:spacing w:after="0" w:line="240" w:lineRule="auto"/>
              <w:jc w:val="center"/>
            </w:pPr>
            <w:r>
              <w:rPr>
                <w:b/>
                <w:sz w:val="18"/>
              </w:rPr>
              <w:t>Indeks (%)</w:t>
            </w:r>
          </w:p>
        </w:tc>
      </w:tr>
      <w:tr w:rsidR="00C33357" w14:paraId="3AECE095" w14:textId="77777777">
        <w:tblPrEx>
          <w:tblCellMar>
            <w:top w:w="0" w:type="dxa"/>
            <w:bottom w:w="0" w:type="dxa"/>
          </w:tblCellMar>
        </w:tblPrEx>
        <w:trPr>
          <w:cantSplit/>
          <w:trHeight w:val="560"/>
        </w:trPr>
        <w:tc>
          <w:tcPr>
            <w:tcW w:w="700" w:type="dxa"/>
            <w:tcMar>
              <w:top w:w="0" w:type="dxa"/>
              <w:bottom w:w="0" w:type="dxa"/>
            </w:tcMar>
            <w:vAlign w:val="center"/>
          </w:tcPr>
          <w:p w14:paraId="2853E10E" w14:textId="77777777" w:rsidR="00C33357" w:rsidRDefault="00000000">
            <w:pPr>
              <w:keepNext/>
              <w:keepLines/>
              <w:spacing w:after="0" w:line="240" w:lineRule="auto"/>
            </w:pPr>
            <w:r>
              <w:rPr>
                <w:sz w:val="18"/>
              </w:rPr>
              <w:t>3223</w:t>
            </w:r>
          </w:p>
        </w:tc>
        <w:tc>
          <w:tcPr>
            <w:tcW w:w="3180" w:type="dxa"/>
            <w:tcMar>
              <w:top w:w="0" w:type="dxa"/>
              <w:bottom w:w="0" w:type="dxa"/>
            </w:tcMar>
            <w:vAlign w:val="center"/>
          </w:tcPr>
          <w:p w14:paraId="34ED8EF5" w14:textId="77777777" w:rsidR="00C33357" w:rsidRDefault="00000000">
            <w:pPr>
              <w:keepNext/>
              <w:keepLines/>
              <w:spacing w:after="0" w:line="240" w:lineRule="auto"/>
            </w:pPr>
            <w:r>
              <w:rPr>
                <w:sz w:val="18"/>
              </w:rPr>
              <w:t>Energija</w:t>
            </w:r>
          </w:p>
        </w:tc>
        <w:tc>
          <w:tcPr>
            <w:tcW w:w="700" w:type="dxa"/>
            <w:tcMar>
              <w:top w:w="0" w:type="dxa"/>
              <w:bottom w:w="0" w:type="dxa"/>
            </w:tcMar>
            <w:vAlign w:val="center"/>
          </w:tcPr>
          <w:p w14:paraId="189221AD" w14:textId="77777777" w:rsidR="00C33357" w:rsidRDefault="00000000">
            <w:pPr>
              <w:keepNext/>
              <w:keepLines/>
              <w:spacing w:after="0" w:line="240" w:lineRule="auto"/>
            </w:pPr>
            <w:r>
              <w:rPr>
                <w:sz w:val="18"/>
              </w:rPr>
              <w:t>3223</w:t>
            </w:r>
          </w:p>
        </w:tc>
        <w:tc>
          <w:tcPr>
            <w:tcW w:w="1860" w:type="dxa"/>
            <w:tcMar>
              <w:top w:w="0" w:type="dxa"/>
              <w:bottom w:w="0" w:type="dxa"/>
            </w:tcMar>
            <w:vAlign w:val="center"/>
          </w:tcPr>
          <w:p w14:paraId="3922A711" w14:textId="77777777" w:rsidR="00C33357" w:rsidRDefault="00000000">
            <w:pPr>
              <w:keepNext/>
              <w:keepLines/>
              <w:spacing w:after="0" w:line="240" w:lineRule="auto"/>
              <w:jc w:val="right"/>
            </w:pPr>
            <w:r>
              <w:rPr>
                <w:sz w:val="18"/>
              </w:rPr>
              <w:t>17.670,47</w:t>
            </w:r>
          </w:p>
        </w:tc>
        <w:tc>
          <w:tcPr>
            <w:tcW w:w="1860" w:type="dxa"/>
            <w:tcMar>
              <w:top w:w="0" w:type="dxa"/>
              <w:bottom w:w="0" w:type="dxa"/>
            </w:tcMar>
            <w:vAlign w:val="center"/>
          </w:tcPr>
          <w:p w14:paraId="016FFA04" w14:textId="77777777" w:rsidR="00C33357" w:rsidRDefault="00000000">
            <w:pPr>
              <w:keepNext/>
              <w:keepLines/>
              <w:spacing w:after="0" w:line="240" w:lineRule="auto"/>
              <w:jc w:val="right"/>
            </w:pPr>
            <w:r>
              <w:rPr>
                <w:sz w:val="18"/>
              </w:rPr>
              <w:t>15.434,82</w:t>
            </w:r>
          </w:p>
        </w:tc>
        <w:tc>
          <w:tcPr>
            <w:tcW w:w="700" w:type="dxa"/>
            <w:tcMar>
              <w:top w:w="0" w:type="dxa"/>
              <w:bottom w:w="0" w:type="dxa"/>
            </w:tcMar>
            <w:vAlign w:val="center"/>
          </w:tcPr>
          <w:p w14:paraId="3FD71FD4" w14:textId="77777777" w:rsidR="00C33357" w:rsidRDefault="00000000">
            <w:pPr>
              <w:keepNext/>
              <w:keepLines/>
              <w:spacing w:after="0" w:line="240" w:lineRule="auto"/>
              <w:jc w:val="right"/>
            </w:pPr>
            <w:r>
              <w:rPr>
                <w:sz w:val="18"/>
              </w:rPr>
              <w:t>87,3</w:t>
            </w:r>
          </w:p>
        </w:tc>
      </w:tr>
    </w:tbl>
    <w:p w14:paraId="2C708DE5" w14:textId="77777777" w:rsidR="00C33357" w:rsidRDefault="00C33357">
      <w:pPr>
        <w:spacing w:after="0"/>
      </w:pPr>
    </w:p>
    <w:p w14:paraId="750054E4" w14:textId="77777777" w:rsidR="00C33357" w:rsidRDefault="00000000">
      <w:pPr>
        <w:spacing w:line="240" w:lineRule="auto"/>
        <w:jc w:val="both"/>
      </w:pPr>
      <w:r>
        <w:t>Troškovi energije su malo manji nego u istom razdoblju prethodne godine, no ukupni troškovi nisu se drastično promijenili. Trošak energije smanjen je za 12,7 %.</w:t>
      </w:r>
    </w:p>
    <w:p w14:paraId="28C5B2B4" w14:textId="77777777" w:rsidR="00C33357" w:rsidRDefault="00C33357"/>
    <w:p w14:paraId="4365713E" w14:textId="77777777" w:rsidR="00C33357"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599C94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B626CD"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FB40B1"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DA54F"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EBADD4"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786799"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2B1A4B" w14:textId="77777777" w:rsidR="00C33357" w:rsidRDefault="00000000">
            <w:pPr>
              <w:keepNext/>
              <w:keepLines/>
              <w:spacing w:after="0" w:line="240" w:lineRule="auto"/>
              <w:jc w:val="center"/>
            </w:pPr>
            <w:r>
              <w:rPr>
                <w:b/>
                <w:sz w:val="18"/>
              </w:rPr>
              <w:t>Indeks (%)</w:t>
            </w:r>
          </w:p>
        </w:tc>
      </w:tr>
      <w:tr w:rsidR="00C33357" w14:paraId="6F766F50" w14:textId="77777777">
        <w:tblPrEx>
          <w:tblCellMar>
            <w:top w:w="0" w:type="dxa"/>
            <w:bottom w:w="0" w:type="dxa"/>
          </w:tblCellMar>
        </w:tblPrEx>
        <w:trPr>
          <w:cantSplit/>
          <w:trHeight w:val="560"/>
        </w:trPr>
        <w:tc>
          <w:tcPr>
            <w:tcW w:w="700" w:type="dxa"/>
            <w:tcMar>
              <w:top w:w="0" w:type="dxa"/>
              <w:bottom w:w="0" w:type="dxa"/>
            </w:tcMar>
            <w:vAlign w:val="center"/>
          </w:tcPr>
          <w:p w14:paraId="66FBAEE0" w14:textId="77777777" w:rsidR="00C33357" w:rsidRDefault="00000000">
            <w:pPr>
              <w:keepNext/>
              <w:keepLines/>
              <w:spacing w:after="0" w:line="240" w:lineRule="auto"/>
            </w:pPr>
            <w:r>
              <w:rPr>
                <w:sz w:val="18"/>
              </w:rPr>
              <w:t>3224</w:t>
            </w:r>
          </w:p>
        </w:tc>
        <w:tc>
          <w:tcPr>
            <w:tcW w:w="3180" w:type="dxa"/>
            <w:tcMar>
              <w:top w:w="0" w:type="dxa"/>
              <w:bottom w:w="0" w:type="dxa"/>
            </w:tcMar>
            <w:vAlign w:val="center"/>
          </w:tcPr>
          <w:p w14:paraId="6070B66B" w14:textId="77777777" w:rsidR="00C33357"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F13080D" w14:textId="77777777" w:rsidR="00C33357" w:rsidRDefault="00000000">
            <w:pPr>
              <w:keepNext/>
              <w:keepLines/>
              <w:spacing w:after="0" w:line="240" w:lineRule="auto"/>
            </w:pPr>
            <w:r>
              <w:rPr>
                <w:sz w:val="18"/>
              </w:rPr>
              <w:t>3224</w:t>
            </w:r>
          </w:p>
        </w:tc>
        <w:tc>
          <w:tcPr>
            <w:tcW w:w="1860" w:type="dxa"/>
            <w:tcMar>
              <w:top w:w="0" w:type="dxa"/>
              <w:bottom w:w="0" w:type="dxa"/>
            </w:tcMar>
            <w:vAlign w:val="center"/>
          </w:tcPr>
          <w:p w14:paraId="7828CB1D" w14:textId="77777777" w:rsidR="00C33357" w:rsidRDefault="00000000">
            <w:pPr>
              <w:keepNext/>
              <w:keepLines/>
              <w:spacing w:after="0" w:line="240" w:lineRule="auto"/>
              <w:jc w:val="right"/>
            </w:pPr>
            <w:r>
              <w:rPr>
                <w:sz w:val="18"/>
              </w:rPr>
              <w:t>302,47</w:t>
            </w:r>
          </w:p>
        </w:tc>
        <w:tc>
          <w:tcPr>
            <w:tcW w:w="1860" w:type="dxa"/>
            <w:tcMar>
              <w:top w:w="0" w:type="dxa"/>
              <w:bottom w:w="0" w:type="dxa"/>
            </w:tcMar>
            <w:vAlign w:val="center"/>
          </w:tcPr>
          <w:p w14:paraId="5005030E" w14:textId="77777777" w:rsidR="00C33357" w:rsidRDefault="00000000">
            <w:pPr>
              <w:keepNext/>
              <w:keepLines/>
              <w:spacing w:after="0" w:line="240" w:lineRule="auto"/>
              <w:jc w:val="right"/>
            </w:pPr>
            <w:r>
              <w:rPr>
                <w:sz w:val="18"/>
              </w:rPr>
              <w:t>709,30</w:t>
            </w:r>
          </w:p>
        </w:tc>
        <w:tc>
          <w:tcPr>
            <w:tcW w:w="700" w:type="dxa"/>
            <w:tcMar>
              <w:top w:w="0" w:type="dxa"/>
              <w:bottom w:w="0" w:type="dxa"/>
            </w:tcMar>
            <w:vAlign w:val="center"/>
          </w:tcPr>
          <w:p w14:paraId="6B532319" w14:textId="77777777" w:rsidR="00C33357" w:rsidRDefault="00000000">
            <w:pPr>
              <w:keepNext/>
              <w:keepLines/>
              <w:spacing w:after="0" w:line="240" w:lineRule="auto"/>
              <w:jc w:val="right"/>
            </w:pPr>
            <w:r>
              <w:rPr>
                <w:sz w:val="18"/>
              </w:rPr>
              <w:t>234,5</w:t>
            </w:r>
          </w:p>
        </w:tc>
      </w:tr>
    </w:tbl>
    <w:p w14:paraId="2D994C5F" w14:textId="77777777" w:rsidR="00C33357" w:rsidRDefault="00C33357">
      <w:pPr>
        <w:spacing w:after="0"/>
      </w:pPr>
    </w:p>
    <w:p w14:paraId="6D13992C" w14:textId="77777777" w:rsidR="00C33357" w:rsidRDefault="00000000">
      <w:pPr>
        <w:spacing w:line="240" w:lineRule="auto"/>
        <w:jc w:val="both"/>
      </w:pPr>
      <w:r>
        <w:t>Rashodi za materijal i dijelove povećani su za  134,5 % u odnosu na isto izvještajno razdoblje prošle godine zbog povećane potrebe za materijalom i dijelovima za tekuće i investicijsko održavanje zbog većih popravka postrojenja i opreme Centra.</w:t>
      </w:r>
    </w:p>
    <w:p w14:paraId="23E823D3" w14:textId="77777777" w:rsidR="00C33357" w:rsidRDefault="00C33357"/>
    <w:p w14:paraId="1BB30C6D" w14:textId="77777777" w:rsidR="00C33357"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1FA2D4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F082F8"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DD47FA"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EFA2A"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700DE0"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D12471"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6FC345" w14:textId="77777777" w:rsidR="00C33357" w:rsidRDefault="00000000">
            <w:pPr>
              <w:keepNext/>
              <w:keepLines/>
              <w:spacing w:after="0" w:line="240" w:lineRule="auto"/>
              <w:jc w:val="center"/>
            </w:pPr>
            <w:r>
              <w:rPr>
                <w:b/>
                <w:sz w:val="18"/>
              </w:rPr>
              <w:t>Indeks (%)</w:t>
            </w:r>
          </w:p>
        </w:tc>
      </w:tr>
      <w:tr w:rsidR="00C33357" w14:paraId="1AEE111C" w14:textId="77777777">
        <w:tblPrEx>
          <w:tblCellMar>
            <w:top w:w="0" w:type="dxa"/>
            <w:bottom w:w="0" w:type="dxa"/>
          </w:tblCellMar>
        </w:tblPrEx>
        <w:trPr>
          <w:cantSplit/>
          <w:trHeight w:val="560"/>
        </w:trPr>
        <w:tc>
          <w:tcPr>
            <w:tcW w:w="700" w:type="dxa"/>
            <w:tcMar>
              <w:top w:w="0" w:type="dxa"/>
              <w:bottom w:w="0" w:type="dxa"/>
            </w:tcMar>
            <w:vAlign w:val="center"/>
          </w:tcPr>
          <w:p w14:paraId="44C7D948" w14:textId="77777777" w:rsidR="00C33357" w:rsidRDefault="00000000">
            <w:pPr>
              <w:keepNext/>
              <w:keepLines/>
              <w:spacing w:after="0" w:line="240" w:lineRule="auto"/>
            </w:pPr>
            <w:r>
              <w:rPr>
                <w:sz w:val="18"/>
              </w:rPr>
              <w:t>3231</w:t>
            </w:r>
          </w:p>
        </w:tc>
        <w:tc>
          <w:tcPr>
            <w:tcW w:w="3180" w:type="dxa"/>
            <w:tcMar>
              <w:top w:w="0" w:type="dxa"/>
              <w:bottom w:w="0" w:type="dxa"/>
            </w:tcMar>
            <w:vAlign w:val="center"/>
          </w:tcPr>
          <w:p w14:paraId="41E786B5" w14:textId="77777777" w:rsidR="00C33357"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6A27A8A4" w14:textId="77777777" w:rsidR="00C33357" w:rsidRDefault="00000000">
            <w:pPr>
              <w:keepNext/>
              <w:keepLines/>
              <w:spacing w:after="0" w:line="240" w:lineRule="auto"/>
            </w:pPr>
            <w:r>
              <w:rPr>
                <w:sz w:val="18"/>
              </w:rPr>
              <w:t>3231</w:t>
            </w:r>
          </w:p>
        </w:tc>
        <w:tc>
          <w:tcPr>
            <w:tcW w:w="1860" w:type="dxa"/>
            <w:tcMar>
              <w:top w:w="0" w:type="dxa"/>
              <w:bottom w:w="0" w:type="dxa"/>
            </w:tcMar>
            <w:vAlign w:val="center"/>
          </w:tcPr>
          <w:p w14:paraId="0E7D8215" w14:textId="77777777" w:rsidR="00C33357" w:rsidRDefault="00000000">
            <w:pPr>
              <w:keepNext/>
              <w:keepLines/>
              <w:spacing w:after="0" w:line="240" w:lineRule="auto"/>
              <w:jc w:val="right"/>
            </w:pPr>
            <w:r>
              <w:rPr>
                <w:sz w:val="18"/>
              </w:rPr>
              <w:t>57.710,69</w:t>
            </w:r>
          </w:p>
        </w:tc>
        <w:tc>
          <w:tcPr>
            <w:tcW w:w="1860" w:type="dxa"/>
            <w:tcMar>
              <w:top w:w="0" w:type="dxa"/>
              <w:bottom w:w="0" w:type="dxa"/>
            </w:tcMar>
            <w:vAlign w:val="center"/>
          </w:tcPr>
          <w:p w14:paraId="7FF425AF" w14:textId="77777777" w:rsidR="00C33357" w:rsidRDefault="00000000">
            <w:pPr>
              <w:keepNext/>
              <w:keepLines/>
              <w:spacing w:after="0" w:line="240" w:lineRule="auto"/>
              <w:jc w:val="right"/>
            </w:pPr>
            <w:r>
              <w:rPr>
                <w:sz w:val="18"/>
              </w:rPr>
              <w:t>48.004,88</w:t>
            </w:r>
          </w:p>
        </w:tc>
        <w:tc>
          <w:tcPr>
            <w:tcW w:w="700" w:type="dxa"/>
            <w:tcMar>
              <w:top w:w="0" w:type="dxa"/>
              <w:bottom w:w="0" w:type="dxa"/>
            </w:tcMar>
            <w:vAlign w:val="center"/>
          </w:tcPr>
          <w:p w14:paraId="5456A468" w14:textId="77777777" w:rsidR="00C33357" w:rsidRDefault="00000000">
            <w:pPr>
              <w:keepNext/>
              <w:keepLines/>
              <w:spacing w:after="0" w:line="240" w:lineRule="auto"/>
              <w:jc w:val="right"/>
            </w:pPr>
            <w:r>
              <w:rPr>
                <w:sz w:val="18"/>
              </w:rPr>
              <w:t>83,2</w:t>
            </w:r>
          </w:p>
        </w:tc>
      </w:tr>
    </w:tbl>
    <w:p w14:paraId="3A132528" w14:textId="77777777" w:rsidR="00C33357" w:rsidRDefault="00C33357">
      <w:pPr>
        <w:spacing w:after="0"/>
      </w:pPr>
    </w:p>
    <w:p w14:paraId="0B853C09" w14:textId="77777777" w:rsidR="00C33357" w:rsidRDefault="00000000">
      <w:pPr>
        <w:spacing w:line="240" w:lineRule="auto"/>
        <w:jc w:val="both"/>
      </w:pPr>
      <w:r>
        <w:t>Troškovi telekomunikacijskih usluga, pošte i interneta, smanjeni su u odnosu na prethodno razdoblje za 30,8%.</w:t>
      </w:r>
    </w:p>
    <w:p w14:paraId="115CEA35" w14:textId="77777777" w:rsidR="00C33357" w:rsidRDefault="00C33357"/>
    <w:p w14:paraId="3491AAED" w14:textId="77777777" w:rsidR="00C33357"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584463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71E5D"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4AE93"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A209C"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61C707"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1D46E3"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354928" w14:textId="77777777" w:rsidR="00C33357" w:rsidRDefault="00000000">
            <w:pPr>
              <w:keepNext/>
              <w:keepLines/>
              <w:spacing w:after="0" w:line="240" w:lineRule="auto"/>
              <w:jc w:val="center"/>
            </w:pPr>
            <w:r>
              <w:rPr>
                <w:b/>
                <w:sz w:val="18"/>
              </w:rPr>
              <w:t>Indeks (%)</w:t>
            </w:r>
          </w:p>
        </w:tc>
      </w:tr>
      <w:tr w:rsidR="00C33357" w14:paraId="56D1DDF8" w14:textId="77777777">
        <w:tblPrEx>
          <w:tblCellMar>
            <w:top w:w="0" w:type="dxa"/>
            <w:bottom w:w="0" w:type="dxa"/>
          </w:tblCellMar>
        </w:tblPrEx>
        <w:trPr>
          <w:cantSplit/>
          <w:trHeight w:val="560"/>
        </w:trPr>
        <w:tc>
          <w:tcPr>
            <w:tcW w:w="700" w:type="dxa"/>
            <w:tcMar>
              <w:top w:w="0" w:type="dxa"/>
              <w:bottom w:w="0" w:type="dxa"/>
            </w:tcMar>
            <w:vAlign w:val="center"/>
          </w:tcPr>
          <w:p w14:paraId="52A7ACB5" w14:textId="77777777" w:rsidR="00C33357" w:rsidRDefault="00000000">
            <w:pPr>
              <w:keepNext/>
              <w:keepLines/>
              <w:spacing w:after="0" w:line="240" w:lineRule="auto"/>
            </w:pPr>
            <w:r>
              <w:rPr>
                <w:sz w:val="18"/>
              </w:rPr>
              <w:t>3232</w:t>
            </w:r>
          </w:p>
        </w:tc>
        <w:tc>
          <w:tcPr>
            <w:tcW w:w="3180" w:type="dxa"/>
            <w:tcMar>
              <w:top w:w="0" w:type="dxa"/>
              <w:bottom w:w="0" w:type="dxa"/>
            </w:tcMar>
            <w:vAlign w:val="center"/>
          </w:tcPr>
          <w:p w14:paraId="0599809C" w14:textId="77777777" w:rsidR="00C33357"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CE7A6E1" w14:textId="77777777" w:rsidR="00C33357" w:rsidRDefault="00000000">
            <w:pPr>
              <w:keepNext/>
              <w:keepLines/>
              <w:spacing w:after="0" w:line="240" w:lineRule="auto"/>
            </w:pPr>
            <w:r>
              <w:rPr>
                <w:sz w:val="18"/>
              </w:rPr>
              <w:t>3232</w:t>
            </w:r>
          </w:p>
        </w:tc>
        <w:tc>
          <w:tcPr>
            <w:tcW w:w="1860" w:type="dxa"/>
            <w:tcMar>
              <w:top w:w="0" w:type="dxa"/>
              <w:bottom w:w="0" w:type="dxa"/>
            </w:tcMar>
            <w:vAlign w:val="center"/>
          </w:tcPr>
          <w:p w14:paraId="0DF9E726" w14:textId="77777777" w:rsidR="00C33357" w:rsidRDefault="00000000">
            <w:pPr>
              <w:keepNext/>
              <w:keepLines/>
              <w:spacing w:after="0" w:line="240" w:lineRule="auto"/>
              <w:jc w:val="right"/>
            </w:pPr>
            <w:r>
              <w:rPr>
                <w:sz w:val="18"/>
              </w:rPr>
              <w:t>9.606,77</w:t>
            </w:r>
          </w:p>
        </w:tc>
        <w:tc>
          <w:tcPr>
            <w:tcW w:w="1860" w:type="dxa"/>
            <w:tcMar>
              <w:top w:w="0" w:type="dxa"/>
              <w:bottom w:w="0" w:type="dxa"/>
            </w:tcMar>
            <w:vAlign w:val="center"/>
          </w:tcPr>
          <w:p w14:paraId="47255560" w14:textId="77777777" w:rsidR="00C33357" w:rsidRDefault="00000000">
            <w:pPr>
              <w:keepNext/>
              <w:keepLines/>
              <w:spacing w:after="0" w:line="240" w:lineRule="auto"/>
              <w:jc w:val="right"/>
            </w:pPr>
            <w:r>
              <w:rPr>
                <w:sz w:val="18"/>
              </w:rPr>
              <w:t>7.502,65</w:t>
            </w:r>
          </w:p>
        </w:tc>
        <w:tc>
          <w:tcPr>
            <w:tcW w:w="700" w:type="dxa"/>
            <w:tcMar>
              <w:top w:w="0" w:type="dxa"/>
              <w:bottom w:w="0" w:type="dxa"/>
            </w:tcMar>
            <w:vAlign w:val="center"/>
          </w:tcPr>
          <w:p w14:paraId="7E492308" w14:textId="77777777" w:rsidR="00C33357" w:rsidRDefault="00000000">
            <w:pPr>
              <w:keepNext/>
              <w:keepLines/>
              <w:spacing w:after="0" w:line="240" w:lineRule="auto"/>
              <w:jc w:val="right"/>
            </w:pPr>
            <w:r>
              <w:rPr>
                <w:sz w:val="18"/>
              </w:rPr>
              <w:t>78,1</w:t>
            </w:r>
          </w:p>
        </w:tc>
      </w:tr>
    </w:tbl>
    <w:p w14:paraId="4C3D5ADE" w14:textId="77777777" w:rsidR="00C33357" w:rsidRDefault="00C33357">
      <w:pPr>
        <w:spacing w:after="0"/>
      </w:pPr>
    </w:p>
    <w:p w14:paraId="68D3E670" w14:textId="77777777" w:rsidR="00C33357" w:rsidRDefault="00000000">
      <w:pPr>
        <w:spacing w:line="240" w:lineRule="auto"/>
        <w:jc w:val="both"/>
      </w:pPr>
      <w:r>
        <w:t>Rashodi za usluge tekućeg i investicijskog održavanja, odnosili su se na usluge tapeciranja, popravak perilice, redovan servis dizala te kontrola plinskog dimnjaka. Rashodi su smanjeni za 16,8 %.</w:t>
      </w:r>
    </w:p>
    <w:p w14:paraId="243C5731" w14:textId="77777777" w:rsidR="00C33357" w:rsidRDefault="00C33357"/>
    <w:p w14:paraId="39E9B9FC" w14:textId="77777777" w:rsidR="00C33357"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540561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90C173"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5A4EDE"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05850"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8E1B5"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17C520"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F25DCE" w14:textId="77777777" w:rsidR="00C33357" w:rsidRDefault="00000000">
            <w:pPr>
              <w:keepNext/>
              <w:keepLines/>
              <w:spacing w:after="0" w:line="240" w:lineRule="auto"/>
              <w:jc w:val="center"/>
            </w:pPr>
            <w:r>
              <w:rPr>
                <w:b/>
                <w:sz w:val="18"/>
              </w:rPr>
              <w:t>Indeks (%)</w:t>
            </w:r>
          </w:p>
        </w:tc>
      </w:tr>
      <w:tr w:rsidR="00C33357" w14:paraId="2CD6887F" w14:textId="77777777">
        <w:tblPrEx>
          <w:tblCellMar>
            <w:top w:w="0" w:type="dxa"/>
            <w:bottom w:w="0" w:type="dxa"/>
          </w:tblCellMar>
        </w:tblPrEx>
        <w:trPr>
          <w:cantSplit/>
          <w:trHeight w:val="560"/>
        </w:trPr>
        <w:tc>
          <w:tcPr>
            <w:tcW w:w="700" w:type="dxa"/>
            <w:tcMar>
              <w:top w:w="0" w:type="dxa"/>
              <w:bottom w:w="0" w:type="dxa"/>
            </w:tcMar>
            <w:vAlign w:val="center"/>
          </w:tcPr>
          <w:p w14:paraId="6D6753E7" w14:textId="77777777" w:rsidR="00C33357" w:rsidRDefault="00000000">
            <w:pPr>
              <w:keepNext/>
              <w:keepLines/>
              <w:spacing w:after="0" w:line="240" w:lineRule="auto"/>
            </w:pPr>
            <w:r>
              <w:rPr>
                <w:sz w:val="18"/>
              </w:rPr>
              <w:t>3234</w:t>
            </w:r>
          </w:p>
        </w:tc>
        <w:tc>
          <w:tcPr>
            <w:tcW w:w="3180" w:type="dxa"/>
            <w:tcMar>
              <w:top w:w="0" w:type="dxa"/>
              <w:bottom w:w="0" w:type="dxa"/>
            </w:tcMar>
            <w:vAlign w:val="center"/>
          </w:tcPr>
          <w:p w14:paraId="300ABE61" w14:textId="77777777" w:rsidR="00C33357" w:rsidRDefault="00000000">
            <w:pPr>
              <w:keepNext/>
              <w:keepLines/>
              <w:spacing w:after="0" w:line="240" w:lineRule="auto"/>
            </w:pPr>
            <w:r>
              <w:rPr>
                <w:sz w:val="18"/>
              </w:rPr>
              <w:t>Komunalne usluge</w:t>
            </w:r>
          </w:p>
        </w:tc>
        <w:tc>
          <w:tcPr>
            <w:tcW w:w="700" w:type="dxa"/>
            <w:tcMar>
              <w:top w:w="0" w:type="dxa"/>
              <w:bottom w:w="0" w:type="dxa"/>
            </w:tcMar>
            <w:vAlign w:val="center"/>
          </w:tcPr>
          <w:p w14:paraId="273653A6" w14:textId="77777777" w:rsidR="00C33357" w:rsidRDefault="00000000">
            <w:pPr>
              <w:keepNext/>
              <w:keepLines/>
              <w:spacing w:after="0" w:line="240" w:lineRule="auto"/>
            </w:pPr>
            <w:r>
              <w:rPr>
                <w:sz w:val="18"/>
              </w:rPr>
              <w:t>3234</w:t>
            </w:r>
          </w:p>
        </w:tc>
        <w:tc>
          <w:tcPr>
            <w:tcW w:w="1860" w:type="dxa"/>
            <w:tcMar>
              <w:top w:w="0" w:type="dxa"/>
              <w:bottom w:w="0" w:type="dxa"/>
            </w:tcMar>
            <w:vAlign w:val="center"/>
          </w:tcPr>
          <w:p w14:paraId="6A33DAEC" w14:textId="77777777" w:rsidR="00C33357" w:rsidRDefault="00000000">
            <w:pPr>
              <w:keepNext/>
              <w:keepLines/>
              <w:spacing w:after="0" w:line="240" w:lineRule="auto"/>
              <w:jc w:val="right"/>
            </w:pPr>
            <w:r>
              <w:rPr>
                <w:sz w:val="18"/>
              </w:rPr>
              <w:t>2.843,71</w:t>
            </w:r>
          </w:p>
        </w:tc>
        <w:tc>
          <w:tcPr>
            <w:tcW w:w="1860" w:type="dxa"/>
            <w:tcMar>
              <w:top w:w="0" w:type="dxa"/>
              <w:bottom w:w="0" w:type="dxa"/>
            </w:tcMar>
            <w:vAlign w:val="center"/>
          </w:tcPr>
          <w:p w14:paraId="626284D8" w14:textId="77777777" w:rsidR="00C33357" w:rsidRDefault="00000000">
            <w:pPr>
              <w:keepNext/>
              <w:keepLines/>
              <w:spacing w:after="0" w:line="240" w:lineRule="auto"/>
              <w:jc w:val="right"/>
            </w:pPr>
            <w:r>
              <w:rPr>
                <w:sz w:val="18"/>
              </w:rPr>
              <w:t>3.319,20</w:t>
            </w:r>
          </w:p>
        </w:tc>
        <w:tc>
          <w:tcPr>
            <w:tcW w:w="700" w:type="dxa"/>
            <w:tcMar>
              <w:top w:w="0" w:type="dxa"/>
              <w:bottom w:w="0" w:type="dxa"/>
            </w:tcMar>
            <w:vAlign w:val="center"/>
          </w:tcPr>
          <w:p w14:paraId="788F4EFF" w14:textId="77777777" w:rsidR="00C33357" w:rsidRDefault="00000000">
            <w:pPr>
              <w:keepNext/>
              <w:keepLines/>
              <w:spacing w:after="0" w:line="240" w:lineRule="auto"/>
              <w:jc w:val="right"/>
            </w:pPr>
            <w:r>
              <w:rPr>
                <w:sz w:val="18"/>
              </w:rPr>
              <w:t>116,7</w:t>
            </w:r>
          </w:p>
        </w:tc>
      </w:tr>
    </w:tbl>
    <w:p w14:paraId="3D3F2D5B" w14:textId="77777777" w:rsidR="00C33357" w:rsidRDefault="00C33357">
      <w:pPr>
        <w:spacing w:after="0"/>
      </w:pPr>
    </w:p>
    <w:p w14:paraId="3BBBBEE5" w14:textId="77777777" w:rsidR="00C33357" w:rsidRDefault="00000000">
      <w:pPr>
        <w:spacing w:line="240" w:lineRule="auto"/>
        <w:jc w:val="both"/>
      </w:pPr>
      <w:r>
        <w:t>Troškovi odvoza smeća, komunalne naknade i uređenja voda povećali su se u odnosu na prethodno razdoblje za 16,7 %.</w:t>
      </w:r>
    </w:p>
    <w:p w14:paraId="2C9731EE" w14:textId="77777777" w:rsidR="00C33357" w:rsidRDefault="00C33357"/>
    <w:p w14:paraId="3F635007" w14:textId="77777777" w:rsidR="00C33357"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32A4FF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01EAD7"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9B3331"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7A6A9"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15C49"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8E53E0"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34C636" w14:textId="77777777" w:rsidR="00C33357" w:rsidRDefault="00000000">
            <w:pPr>
              <w:keepNext/>
              <w:keepLines/>
              <w:spacing w:after="0" w:line="240" w:lineRule="auto"/>
              <w:jc w:val="center"/>
            </w:pPr>
            <w:r>
              <w:rPr>
                <w:b/>
                <w:sz w:val="18"/>
              </w:rPr>
              <w:t>Indeks (%)</w:t>
            </w:r>
          </w:p>
        </w:tc>
      </w:tr>
      <w:tr w:rsidR="00C33357" w14:paraId="159385CA" w14:textId="77777777">
        <w:tblPrEx>
          <w:tblCellMar>
            <w:top w:w="0" w:type="dxa"/>
            <w:bottom w:w="0" w:type="dxa"/>
          </w:tblCellMar>
        </w:tblPrEx>
        <w:trPr>
          <w:cantSplit/>
          <w:trHeight w:val="560"/>
        </w:trPr>
        <w:tc>
          <w:tcPr>
            <w:tcW w:w="700" w:type="dxa"/>
            <w:tcMar>
              <w:top w:w="0" w:type="dxa"/>
              <w:bottom w:w="0" w:type="dxa"/>
            </w:tcMar>
            <w:vAlign w:val="center"/>
          </w:tcPr>
          <w:p w14:paraId="7EFCE51F" w14:textId="77777777" w:rsidR="00C33357" w:rsidRDefault="00000000">
            <w:pPr>
              <w:keepNext/>
              <w:keepLines/>
              <w:spacing w:after="0" w:line="240" w:lineRule="auto"/>
            </w:pPr>
            <w:r>
              <w:rPr>
                <w:sz w:val="18"/>
              </w:rPr>
              <w:t>3237</w:t>
            </w:r>
          </w:p>
        </w:tc>
        <w:tc>
          <w:tcPr>
            <w:tcW w:w="3180" w:type="dxa"/>
            <w:tcMar>
              <w:top w:w="0" w:type="dxa"/>
              <w:bottom w:w="0" w:type="dxa"/>
            </w:tcMar>
            <w:vAlign w:val="center"/>
          </w:tcPr>
          <w:p w14:paraId="46EEC528" w14:textId="77777777" w:rsidR="00C33357"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10E62C7" w14:textId="77777777" w:rsidR="00C33357" w:rsidRDefault="00000000">
            <w:pPr>
              <w:keepNext/>
              <w:keepLines/>
              <w:spacing w:after="0" w:line="240" w:lineRule="auto"/>
            </w:pPr>
            <w:r>
              <w:rPr>
                <w:sz w:val="18"/>
              </w:rPr>
              <w:t>3237</w:t>
            </w:r>
          </w:p>
        </w:tc>
        <w:tc>
          <w:tcPr>
            <w:tcW w:w="1860" w:type="dxa"/>
            <w:tcMar>
              <w:top w:w="0" w:type="dxa"/>
              <w:bottom w:w="0" w:type="dxa"/>
            </w:tcMar>
            <w:vAlign w:val="center"/>
          </w:tcPr>
          <w:p w14:paraId="2FF03E91" w14:textId="77777777" w:rsidR="00C33357" w:rsidRDefault="00000000">
            <w:pPr>
              <w:keepNext/>
              <w:keepLines/>
              <w:spacing w:after="0" w:line="240" w:lineRule="auto"/>
              <w:jc w:val="right"/>
            </w:pPr>
            <w:r>
              <w:rPr>
                <w:sz w:val="18"/>
              </w:rPr>
              <w:t>466,44</w:t>
            </w:r>
          </w:p>
        </w:tc>
        <w:tc>
          <w:tcPr>
            <w:tcW w:w="1860" w:type="dxa"/>
            <w:tcMar>
              <w:top w:w="0" w:type="dxa"/>
              <w:bottom w:w="0" w:type="dxa"/>
            </w:tcMar>
            <w:vAlign w:val="center"/>
          </w:tcPr>
          <w:p w14:paraId="2E9D0516" w14:textId="77777777" w:rsidR="00C33357" w:rsidRDefault="00000000">
            <w:pPr>
              <w:keepNext/>
              <w:keepLines/>
              <w:spacing w:after="0" w:line="240" w:lineRule="auto"/>
              <w:jc w:val="right"/>
            </w:pPr>
            <w:r>
              <w:rPr>
                <w:sz w:val="18"/>
              </w:rPr>
              <w:t>288,75</w:t>
            </w:r>
          </w:p>
        </w:tc>
        <w:tc>
          <w:tcPr>
            <w:tcW w:w="700" w:type="dxa"/>
            <w:tcMar>
              <w:top w:w="0" w:type="dxa"/>
              <w:bottom w:w="0" w:type="dxa"/>
            </w:tcMar>
            <w:vAlign w:val="center"/>
          </w:tcPr>
          <w:p w14:paraId="58D8F09C" w14:textId="77777777" w:rsidR="00C33357" w:rsidRDefault="00000000">
            <w:pPr>
              <w:keepNext/>
              <w:keepLines/>
              <w:spacing w:after="0" w:line="240" w:lineRule="auto"/>
              <w:jc w:val="right"/>
            </w:pPr>
            <w:r>
              <w:rPr>
                <w:sz w:val="18"/>
              </w:rPr>
              <w:t>61,9</w:t>
            </w:r>
          </w:p>
        </w:tc>
      </w:tr>
    </w:tbl>
    <w:p w14:paraId="57804630" w14:textId="77777777" w:rsidR="00C33357" w:rsidRDefault="00C33357">
      <w:pPr>
        <w:spacing w:after="0"/>
      </w:pPr>
    </w:p>
    <w:p w14:paraId="6F1174EE" w14:textId="77777777" w:rsidR="00C33357" w:rsidRDefault="00000000">
      <w:pPr>
        <w:spacing w:line="240" w:lineRule="auto"/>
        <w:jc w:val="both"/>
      </w:pPr>
      <w:r>
        <w:t>Intelektualne i osobne usluge smanjene su za 38,1 %, ove godine utrošeno je samo na uslugu izrade evakuacijskog puta i osposobljavanje djelatnika za zaštitu na radu.</w:t>
      </w:r>
    </w:p>
    <w:p w14:paraId="0BBFB1F8" w14:textId="77777777" w:rsidR="00C33357" w:rsidRDefault="00C33357"/>
    <w:p w14:paraId="541B32F6" w14:textId="77777777" w:rsidR="00C33357"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242960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7EE63A"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531743"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B0372A"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410738"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EDBB0"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FEE1CD" w14:textId="77777777" w:rsidR="00C33357" w:rsidRDefault="00000000">
            <w:pPr>
              <w:keepNext/>
              <w:keepLines/>
              <w:spacing w:after="0" w:line="240" w:lineRule="auto"/>
              <w:jc w:val="center"/>
            </w:pPr>
            <w:r>
              <w:rPr>
                <w:b/>
                <w:sz w:val="18"/>
              </w:rPr>
              <w:t>Indeks (%)</w:t>
            </w:r>
          </w:p>
        </w:tc>
      </w:tr>
      <w:tr w:rsidR="00C33357" w14:paraId="5A11C20D" w14:textId="77777777">
        <w:tblPrEx>
          <w:tblCellMar>
            <w:top w:w="0" w:type="dxa"/>
            <w:bottom w:w="0" w:type="dxa"/>
          </w:tblCellMar>
        </w:tblPrEx>
        <w:trPr>
          <w:cantSplit/>
          <w:trHeight w:val="560"/>
        </w:trPr>
        <w:tc>
          <w:tcPr>
            <w:tcW w:w="700" w:type="dxa"/>
            <w:tcMar>
              <w:top w:w="0" w:type="dxa"/>
              <w:bottom w:w="0" w:type="dxa"/>
            </w:tcMar>
            <w:vAlign w:val="center"/>
          </w:tcPr>
          <w:p w14:paraId="6272439A" w14:textId="77777777" w:rsidR="00C33357" w:rsidRDefault="00000000">
            <w:pPr>
              <w:keepNext/>
              <w:keepLines/>
              <w:spacing w:after="0" w:line="240" w:lineRule="auto"/>
            </w:pPr>
            <w:r>
              <w:rPr>
                <w:sz w:val="18"/>
              </w:rPr>
              <w:t>3239</w:t>
            </w:r>
          </w:p>
        </w:tc>
        <w:tc>
          <w:tcPr>
            <w:tcW w:w="3180" w:type="dxa"/>
            <w:tcMar>
              <w:top w:w="0" w:type="dxa"/>
              <w:bottom w:w="0" w:type="dxa"/>
            </w:tcMar>
            <w:vAlign w:val="center"/>
          </w:tcPr>
          <w:p w14:paraId="54984336" w14:textId="77777777" w:rsidR="00C33357" w:rsidRDefault="00000000">
            <w:pPr>
              <w:keepNext/>
              <w:keepLines/>
              <w:spacing w:after="0" w:line="240" w:lineRule="auto"/>
            </w:pPr>
            <w:r>
              <w:rPr>
                <w:sz w:val="18"/>
              </w:rPr>
              <w:t>Ostale usluge</w:t>
            </w:r>
          </w:p>
        </w:tc>
        <w:tc>
          <w:tcPr>
            <w:tcW w:w="700" w:type="dxa"/>
            <w:tcMar>
              <w:top w:w="0" w:type="dxa"/>
              <w:bottom w:w="0" w:type="dxa"/>
            </w:tcMar>
            <w:vAlign w:val="center"/>
          </w:tcPr>
          <w:p w14:paraId="70574768" w14:textId="77777777" w:rsidR="00C33357" w:rsidRDefault="00000000">
            <w:pPr>
              <w:keepNext/>
              <w:keepLines/>
              <w:spacing w:after="0" w:line="240" w:lineRule="auto"/>
            </w:pPr>
            <w:r>
              <w:rPr>
                <w:sz w:val="18"/>
              </w:rPr>
              <w:t>3239</w:t>
            </w:r>
          </w:p>
        </w:tc>
        <w:tc>
          <w:tcPr>
            <w:tcW w:w="1860" w:type="dxa"/>
            <w:tcMar>
              <w:top w:w="0" w:type="dxa"/>
              <w:bottom w:w="0" w:type="dxa"/>
            </w:tcMar>
            <w:vAlign w:val="center"/>
          </w:tcPr>
          <w:p w14:paraId="5F5B43FC" w14:textId="77777777" w:rsidR="00C33357" w:rsidRDefault="00000000">
            <w:pPr>
              <w:keepNext/>
              <w:keepLines/>
              <w:spacing w:after="0" w:line="240" w:lineRule="auto"/>
              <w:jc w:val="right"/>
            </w:pPr>
            <w:r>
              <w:rPr>
                <w:sz w:val="18"/>
              </w:rPr>
              <w:t>1.226,70</w:t>
            </w:r>
          </w:p>
        </w:tc>
        <w:tc>
          <w:tcPr>
            <w:tcW w:w="1860" w:type="dxa"/>
            <w:tcMar>
              <w:top w:w="0" w:type="dxa"/>
              <w:bottom w:w="0" w:type="dxa"/>
            </w:tcMar>
            <w:vAlign w:val="center"/>
          </w:tcPr>
          <w:p w14:paraId="4B4C0744" w14:textId="77777777" w:rsidR="00C33357" w:rsidRDefault="00000000">
            <w:pPr>
              <w:keepNext/>
              <w:keepLines/>
              <w:spacing w:after="0" w:line="240" w:lineRule="auto"/>
              <w:jc w:val="right"/>
            </w:pPr>
            <w:r>
              <w:rPr>
                <w:sz w:val="18"/>
              </w:rPr>
              <w:t>2.416,30</w:t>
            </w:r>
          </w:p>
        </w:tc>
        <w:tc>
          <w:tcPr>
            <w:tcW w:w="700" w:type="dxa"/>
            <w:tcMar>
              <w:top w:w="0" w:type="dxa"/>
              <w:bottom w:w="0" w:type="dxa"/>
            </w:tcMar>
            <w:vAlign w:val="center"/>
          </w:tcPr>
          <w:p w14:paraId="3EBFAB0C" w14:textId="77777777" w:rsidR="00C33357" w:rsidRDefault="00000000">
            <w:pPr>
              <w:keepNext/>
              <w:keepLines/>
              <w:spacing w:after="0" w:line="240" w:lineRule="auto"/>
              <w:jc w:val="right"/>
            </w:pPr>
            <w:r>
              <w:rPr>
                <w:sz w:val="18"/>
              </w:rPr>
              <w:t>197,0</w:t>
            </w:r>
          </w:p>
        </w:tc>
      </w:tr>
    </w:tbl>
    <w:p w14:paraId="764E4CA1" w14:textId="77777777" w:rsidR="00C33357" w:rsidRDefault="00C33357">
      <w:pPr>
        <w:spacing w:after="0"/>
      </w:pPr>
    </w:p>
    <w:p w14:paraId="34DEA983" w14:textId="77777777" w:rsidR="00C33357" w:rsidRDefault="00000000">
      <w:pPr>
        <w:spacing w:line="240" w:lineRule="auto"/>
        <w:jc w:val="both"/>
      </w:pPr>
      <w:r>
        <w:t xml:space="preserve">Ostale usluge odnose se na uslugu FINA-e, usluga izrade cvijeća (vijenca), usluga registracije i održavanje knjižničnog programa, povezivanje podataka na </w:t>
      </w:r>
      <w:proofErr w:type="spellStart"/>
      <w:r>
        <w:t>ePoreznoj</w:t>
      </w:r>
      <w:proofErr w:type="spellEnd"/>
      <w:r>
        <w:t xml:space="preserve"> od vanjskog knjigovodstvenog servisa; došlo je do povećanja za 97 %.</w:t>
      </w:r>
    </w:p>
    <w:p w14:paraId="5D19C527" w14:textId="77777777" w:rsidR="00C33357" w:rsidRDefault="00C33357"/>
    <w:p w14:paraId="40AD5CB5" w14:textId="77777777" w:rsidR="00C33357"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4D4FB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CA690A"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C83F1"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E9030"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7E60E6"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581AC5"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07A86C" w14:textId="77777777" w:rsidR="00C33357" w:rsidRDefault="00000000">
            <w:pPr>
              <w:keepNext/>
              <w:keepLines/>
              <w:spacing w:after="0" w:line="240" w:lineRule="auto"/>
              <w:jc w:val="center"/>
            </w:pPr>
            <w:r>
              <w:rPr>
                <w:b/>
                <w:sz w:val="18"/>
              </w:rPr>
              <w:t>Indeks (%)</w:t>
            </w:r>
          </w:p>
        </w:tc>
      </w:tr>
      <w:tr w:rsidR="00C33357" w14:paraId="7CEF0AC9" w14:textId="77777777">
        <w:tblPrEx>
          <w:tblCellMar>
            <w:top w:w="0" w:type="dxa"/>
            <w:bottom w:w="0" w:type="dxa"/>
          </w:tblCellMar>
        </w:tblPrEx>
        <w:trPr>
          <w:cantSplit/>
          <w:trHeight w:val="560"/>
        </w:trPr>
        <w:tc>
          <w:tcPr>
            <w:tcW w:w="700" w:type="dxa"/>
            <w:tcMar>
              <w:top w:w="0" w:type="dxa"/>
              <w:bottom w:w="0" w:type="dxa"/>
            </w:tcMar>
            <w:vAlign w:val="center"/>
          </w:tcPr>
          <w:p w14:paraId="79B57D56" w14:textId="77777777" w:rsidR="00C33357" w:rsidRDefault="00000000">
            <w:pPr>
              <w:keepNext/>
              <w:keepLines/>
              <w:spacing w:after="0" w:line="240" w:lineRule="auto"/>
            </w:pPr>
            <w:r>
              <w:rPr>
                <w:sz w:val="18"/>
              </w:rPr>
              <w:t>3294</w:t>
            </w:r>
          </w:p>
        </w:tc>
        <w:tc>
          <w:tcPr>
            <w:tcW w:w="3180" w:type="dxa"/>
            <w:tcMar>
              <w:top w:w="0" w:type="dxa"/>
              <w:bottom w:w="0" w:type="dxa"/>
            </w:tcMar>
            <w:vAlign w:val="center"/>
          </w:tcPr>
          <w:p w14:paraId="429633B8" w14:textId="77777777" w:rsidR="00C33357" w:rsidRDefault="00000000">
            <w:pPr>
              <w:keepNext/>
              <w:keepLines/>
              <w:spacing w:after="0" w:line="240" w:lineRule="auto"/>
            </w:pPr>
            <w:r>
              <w:rPr>
                <w:sz w:val="18"/>
              </w:rPr>
              <w:t>Članarine i norme</w:t>
            </w:r>
          </w:p>
        </w:tc>
        <w:tc>
          <w:tcPr>
            <w:tcW w:w="700" w:type="dxa"/>
            <w:tcMar>
              <w:top w:w="0" w:type="dxa"/>
              <w:bottom w:w="0" w:type="dxa"/>
            </w:tcMar>
            <w:vAlign w:val="center"/>
          </w:tcPr>
          <w:p w14:paraId="174AEDD7" w14:textId="77777777" w:rsidR="00C33357" w:rsidRDefault="00000000">
            <w:pPr>
              <w:keepNext/>
              <w:keepLines/>
              <w:spacing w:after="0" w:line="240" w:lineRule="auto"/>
            </w:pPr>
            <w:r>
              <w:rPr>
                <w:sz w:val="18"/>
              </w:rPr>
              <w:t>3294</w:t>
            </w:r>
          </w:p>
        </w:tc>
        <w:tc>
          <w:tcPr>
            <w:tcW w:w="1860" w:type="dxa"/>
            <w:tcMar>
              <w:top w:w="0" w:type="dxa"/>
              <w:bottom w:w="0" w:type="dxa"/>
            </w:tcMar>
            <w:vAlign w:val="center"/>
          </w:tcPr>
          <w:p w14:paraId="30931C56" w14:textId="77777777" w:rsidR="00C33357" w:rsidRDefault="00000000">
            <w:pPr>
              <w:keepNext/>
              <w:keepLines/>
              <w:spacing w:after="0" w:line="240" w:lineRule="auto"/>
              <w:jc w:val="right"/>
            </w:pPr>
            <w:r>
              <w:rPr>
                <w:sz w:val="18"/>
              </w:rPr>
              <w:t>254,09</w:t>
            </w:r>
          </w:p>
        </w:tc>
        <w:tc>
          <w:tcPr>
            <w:tcW w:w="1860" w:type="dxa"/>
            <w:tcMar>
              <w:top w:w="0" w:type="dxa"/>
              <w:bottom w:w="0" w:type="dxa"/>
            </w:tcMar>
            <w:vAlign w:val="center"/>
          </w:tcPr>
          <w:p w14:paraId="16B2D0CF" w14:textId="77777777" w:rsidR="00C33357" w:rsidRDefault="00000000">
            <w:pPr>
              <w:keepNext/>
              <w:keepLines/>
              <w:spacing w:after="0" w:line="240" w:lineRule="auto"/>
              <w:jc w:val="right"/>
            </w:pPr>
            <w:r>
              <w:rPr>
                <w:sz w:val="18"/>
              </w:rPr>
              <w:t>381,00</w:t>
            </w:r>
          </w:p>
        </w:tc>
        <w:tc>
          <w:tcPr>
            <w:tcW w:w="700" w:type="dxa"/>
            <w:tcMar>
              <w:top w:w="0" w:type="dxa"/>
              <w:bottom w:w="0" w:type="dxa"/>
            </w:tcMar>
            <w:vAlign w:val="center"/>
          </w:tcPr>
          <w:p w14:paraId="65014633" w14:textId="77777777" w:rsidR="00C33357" w:rsidRDefault="00000000">
            <w:pPr>
              <w:keepNext/>
              <w:keepLines/>
              <w:spacing w:after="0" w:line="240" w:lineRule="auto"/>
              <w:jc w:val="right"/>
            </w:pPr>
            <w:r>
              <w:rPr>
                <w:sz w:val="18"/>
              </w:rPr>
              <w:t>149,9</w:t>
            </w:r>
          </w:p>
        </w:tc>
      </w:tr>
    </w:tbl>
    <w:p w14:paraId="797DAF50" w14:textId="77777777" w:rsidR="00C33357" w:rsidRDefault="00C33357">
      <w:pPr>
        <w:spacing w:after="0"/>
      </w:pPr>
    </w:p>
    <w:p w14:paraId="65BB7849" w14:textId="77777777" w:rsidR="00C33357" w:rsidRDefault="00000000">
      <w:pPr>
        <w:spacing w:line="240" w:lineRule="auto"/>
        <w:jc w:val="both"/>
      </w:pPr>
      <w:r>
        <w:t>Članarine su se za 2025. godinu povećale, pa je stoga i rashod u 2025. godini veći za 49,9 % u odnosu na prethodno razdoblje u 2024. godini.</w:t>
      </w:r>
    </w:p>
    <w:p w14:paraId="64027BD5" w14:textId="77777777" w:rsidR="00C33357" w:rsidRDefault="00C33357"/>
    <w:p w14:paraId="4E55891F" w14:textId="77777777" w:rsidR="00C33357"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7E573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7A55EF"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3F8C56"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7A945"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25705F"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5497BF"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4E4CCE" w14:textId="77777777" w:rsidR="00C33357" w:rsidRDefault="00000000">
            <w:pPr>
              <w:keepNext/>
              <w:keepLines/>
              <w:spacing w:after="0" w:line="240" w:lineRule="auto"/>
              <w:jc w:val="center"/>
            </w:pPr>
            <w:r>
              <w:rPr>
                <w:b/>
                <w:sz w:val="18"/>
              </w:rPr>
              <w:t>Indeks (%)</w:t>
            </w:r>
          </w:p>
        </w:tc>
      </w:tr>
      <w:tr w:rsidR="00C33357" w14:paraId="1D9BCEEB" w14:textId="77777777">
        <w:tblPrEx>
          <w:tblCellMar>
            <w:top w:w="0" w:type="dxa"/>
            <w:bottom w:w="0" w:type="dxa"/>
          </w:tblCellMar>
        </w:tblPrEx>
        <w:trPr>
          <w:cantSplit/>
          <w:trHeight w:val="560"/>
        </w:trPr>
        <w:tc>
          <w:tcPr>
            <w:tcW w:w="700" w:type="dxa"/>
            <w:tcMar>
              <w:top w:w="0" w:type="dxa"/>
              <w:bottom w:w="0" w:type="dxa"/>
            </w:tcMar>
            <w:vAlign w:val="center"/>
          </w:tcPr>
          <w:p w14:paraId="088E8D3E" w14:textId="77777777" w:rsidR="00C33357" w:rsidRDefault="00000000">
            <w:pPr>
              <w:keepNext/>
              <w:keepLines/>
              <w:spacing w:after="0" w:line="240" w:lineRule="auto"/>
            </w:pPr>
            <w:r>
              <w:rPr>
                <w:sz w:val="18"/>
              </w:rPr>
              <w:t>3299</w:t>
            </w:r>
          </w:p>
        </w:tc>
        <w:tc>
          <w:tcPr>
            <w:tcW w:w="3180" w:type="dxa"/>
            <w:tcMar>
              <w:top w:w="0" w:type="dxa"/>
              <w:bottom w:w="0" w:type="dxa"/>
            </w:tcMar>
            <w:vAlign w:val="center"/>
          </w:tcPr>
          <w:p w14:paraId="5FCD2CA8" w14:textId="77777777" w:rsidR="00C33357"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5D371E84" w14:textId="77777777" w:rsidR="00C33357" w:rsidRDefault="00000000">
            <w:pPr>
              <w:keepNext/>
              <w:keepLines/>
              <w:spacing w:after="0" w:line="240" w:lineRule="auto"/>
            </w:pPr>
            <w:r>
              <w:rPr>
                <w:sz w:val="18"/>
              </w:rPr>
              <w:t>3299</w:t>
            </w:r>
          </w:p>
        </w:tc>
        <w:tc>
          <w:tcPr>
            <w:tcW w:w="1860" w:type="dxa"/>
            <w:tcMar>
              <w:top w:w="0" w:type="dxa"/>
              <w:bottom w:w="0" w:type="dxa"/>
            </w:tcMar>
            <w:vAlign w:val="center"/>
          </w:tcPr>
          <w:p w14:paraId="269AA6F7" w14:textId="77777777" w:rsidR="00C33357" w:rsidRDefault="00000000">
            <w:pPr>
              <w:keepNext/>
              <w:keepLines/>
              <w:spacing w:after="0" w:line="240" w:lineRule="auto"/>
              <w:jc w:val="right"/>
            </w:pPr>
            <w:r>
              <w:rPr>
                <w:sz w:val="18"/>
              </w:rPr>
              <w:t>1.329,69</w:t>
            </w:r>
          </w:p>
        </w:tc>
        <w:tc>
          <w:tcPr>
            <w:tcW w:w="1860" w:type="dxa"/>
            <w:tcMar>
              <w:top w:w="0" w:type="dxa"/>
              <w:bottom w:w="0" w:type="dxa"/>
            </w:tcMar>
            <w:vAlign w:val="center"/>
          </w:tcPr>
          <w:p w14:paraId="1604129F" w14:textId="77777777" w:rsidR="00C33357" w:rsidRDefault="00000000">
            <w:pPr>
              <w:keepNext/>
              <w:keepLines/>
              <w:spacing w:after="0" w:line="240" w:lineRule="auto"/>
              <w:jc w:val="right"/>
            </w:pPr>
            <w:r>
              <w:rPr>
                <w:sz w:val="18"/>
              </w:rPr>
              <w:t>2.334,49</w:t>
            </w:r>
          </w:p>
        </w:tc>
        <w:tc>
          <w:tcPr>
            <w:tcW w:w="700" w:type="dxa"/>
            <w:tcMar>
              <w:top w:w="0" w:type="dxa"/>
              <w:bottom w:w="0" w:type="dxa"/>
            </w:tcMar>
            <w:vAlign w:val="center"/>
          </w:tcPr>
          <w:p w14:paraId="354B1CC7" w14:textId="77777777" w:rsidR="00C33357" w:rsidRDefault="00000000">
            <w:pPr>
              <w:keepNext/>
              <w:keepLines/>
              <w:spacing w:after="0" w:line="240" w:lineRule="auto"/>
              <w:jc w:val="right"/>
            </w:pPr>
            <w:r>
              <w:rPr>
                <w:sz w:val="18"/>
              </w:rPr>
              <w:t>175,6</w:t>
            </w:r>
          </w:p>
        </w:tc>
      </w:tr>
    </w:tbl>
    <w:p w14:paraId="7D5DD1ED" w14:textId="77777777" w:rsidR="00C33357" w:rsidRDefault="00C33357">
      <w:pPr>
        <w:spacing w:after="0"/>
      </w:pPr>
    </w:p>
    <w:p w14:paraId="134B7905" w14:textId="77777777" w:rsidR="00C33357" w:rsidRDefault="00000000">
      <w:pPr>
        <w:spacing w:line="240" w:lineRule="auto"/>
        <w:jc w:val="both"/>
      </w:pPr>
      <w:r>
        <w:t>Ostali rashodi odnose se na uslugu e-računa, e-pisarnice te na izradu projektne dokumentacije za prijavu na natječaj, izrada plaća virtualne šetnje školom, pa su nespomenuti rashodi u 2025. godini dosta viši u odnosu na isto razdoblje u 2024. godini.</w:t>
      </w:r>
    </w:p>
    <w:p w14:paraId="516E7B79" w14:textId="77777777" w:rsidR="00C33357" w:rsidRDefault="00C33357"/>
    <w:p w14:paraId="1683B5D0" w14:textId="77777777" w:rsidR="00C33357"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3BEC0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E2B2C5"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110F8"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4FF64"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67E90"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22EFB"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A136C3" w14:textId="77777777" w:rsidR="00C33357" w:rsidRDefault="00000000">
            <w:pPr>
              <w:keepNext/>
              <w:keepLines/>
              <w:spacing w:after="0" w:line="240" w:lineRule="auto"/>
              <w:jc w:val="center"/>
            </w:pPr>
            <w:r>
              <w:rPr>
                <w:b/>
                <w:sz w:val="18"/>
              </w:rPr>
              <w:t>Indeks (%)</w:t>
            </w:r>
          </w:p>
        </w:tc>
      </w:tr>
      <w:tr w:rsidR="00C33357" w14:paraId="51AAB6C9" w14:textId="77777777">
        <w:tblPrEx>
          <w:tblCellMar>
            <w:top w:w="0" w:type="dxa"/>
            <w:bottom w:w="0" w:type="dxa"/>
          </w:tblCellMar>
        </w:tblPrEx>
        <w:trPr>
          <w:cantSplit/>
          <w:trHeight w:val="560"/>
        </w:trPr>
        <w:tc>
          <w:tcPr>
            <w:tcW w:w="700" w:type="dxa"/>
            <w:tcMar>
              <w:top w:w="0" w:type="dxa"/>
              <w:bottom w:w="0" w:type="dxa"/>
            </w:tcMar>
            <w:vAlign w:val="center"/>
          </w:tcPr>
          <w:p w14:paraId="47DA1A5F" w14:textId="77777777" w:rsidR="00C33357" w:rsidRDefault="00000000">
            <w:pPr>
              <w:keepNext/>
              <w:keepLines/>
              <w:spacing w:after="0" w:line="240" w:lineRule="auto"/>
            </w:pPr>
            <w:r>
              <w:rPr>
                <w:sz w:val="18"/>
              </w:rPr>
              <w:t>96</w:t>
            </w:r>
          </w:p>
        </w:tc>
        <w:tc>
          <w:tcPr>
            <w:tcW w:w="3180" w:type="dxa"/>
            <w:tcMar>
              <w:top w:w="0" w:type="dxa"/>
              <w:bottom w:w="0" w:type="dxa"/>
            </w:tcMar>
            <w:vAlign w:val="center"/>
          </w:tcPr>
          <w:p w14:paraId="15328714" w14:textId="77777777" w:rsidR="00C33357"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4E74D891" w14:textId="77777777" w:rsidR="00C33357" w:rsidRDefault="00000000">
            <w:pPr>
              <w:keepNext/>
              <w:keepLines/>
              <w:spacing w:after="0" w:line="240" w:lineRule="auto"/>
            </w:pPr>
            <w:r>
              <w:rPr>
                <w:sz w:val="18"/>
              </w:rPr>
              <w:t>96</w:t>
            </w:r>
          </w:p>
        </w:tc>
        <w:tc>
          <w:tcPr>
            <w:tcW w:w="1860" w:type="dxa"/>
            <w:tcMar>
              <w:top w:w="0" w:type="dxa"/>
              <w:bottom w:w="0" w:type="dxa"/>
            </w:tcMar>
            <w:vAlign w:val="center"/>
          </w:tcPr>
          <w:p w14:paraId="73A50565" w14:textId="77777777" w:rsidR="00C33357" w:rsidRDefault="00000000">
            <w:pPr>
              <w:keepNext/>
              <w:keepLines/>
              <w:spacing w:after="0" w:line="240" w:lineRule="auto"/>
              <w:jc w:val="right"/>
            </w:pPr>
            <w:r>
              <w:rPr>
                <w:sz w:val="18"/>
              </w:rPr>
              <w:t>8.808,00</w:t>
            </w:r>
          </w:p>
        </w:tc>
        <w:tc>
          <w:tcPr>
            <w:tcW w:w="1860" w:type="dxa"/>
            <w:tcMar>
              <w:top w:w="0" w:type="dxa"/>
              <w:bottom w:w="0" w:type="dxa"/>
            </w:tcMar>
            <w:vAlign w:val="center"/>
          </w:tcPr>
          <w:p w14:paraId="1CCCE1EA" w14:textId="77777777" w:rsidR="00C33357" w:rsidRDefault="00000000">
            <w:pPr>
              <w:keepNext/>
              <w:keepLines/>
              <w:spacing w:after="0" w:line="240" w:lineRule="auto"/>
              <w:jc w:val="right"/>
            </w:pPr>
            <w:r>
              <w:rPr>
                <w:sz w:val="18"/>
              </w:rPr>
              <w:t>190.941,07</w:t>
            </w:r>
          </w:p>
        </w:tc>
        <w:tc>
          <w:tcPr>
            <w:tcW w:w="700" w:type="dxa"/>
            <w:tcMar>
              <w:top w:w="0" w:type="dxa"/>
              <w:bottom w:w="0" w:type="dxa"/>
            </w:tcMar>
            <w:vAlign w:val="center"/>
          </w:tcPr>
          <w:p w14:paraId="7B0388F9" w14:textId="77777777" w:rsidR="00C33357" w:rsidRDefault="00000000">
            <w:pPr>
              <w:keepNext/>
              <w:keepLines/>
              <w:spacing w:after="0" w:line="240" w:lineRule="auto"/>
              <w:jc w:val="right"/>
            </w:pPr>
            <w:r>
              <w:rPr>
                <w:sz w:val="18"/>
              </w:rPr>
              <w:t>2167,8</w:t>
            </w:r>
          </w:p>
        </w:tc>
      </w:tr>
    </w:tbl>
    <w:p w14:paraId="1D332074" w14:textId="77777777" w:rsidR="00C33357" w:rsidRDefault="00C33357">
      <w:pPr>
        <w:spacing w:after="0"/>
      </w:pPr>
    </w:p>
    <w:p w14:paraId="4D70B70A" w14:textId="77777777" w:rsidR="00C33357" w:rsidRDefault="00000000">
      <w:pPr>
        <w:spacing w:line="240" w:lineRule="auto"/>
        <w:jc w:val="both"/>
      </w:pPr>
      <w:r>
        <w:t>U ovom slučaju, vidljivo je veliko povećanje, no to je isključivo radi obračuna plaće za lipanj, koja sa 30.06. nije isplaćena ali je obračunata. Nakon isplate plaće, iznos na ovom kontu će se smanjiti za ukupan iznos troška plaće za lipanj. Također, tu su prikazane i uplate učenika za mjesečnu naplatu školske kuhinje, najam dvorane i socijalne usluge.</w:t>
      </w:r>
    </w:p>
    <w:p w14:paraId="782ADD9C" w14:textId="77777777" w:rsidR="00C33357" w:rsidRDefault="00C33357"/>
    <w:p w14:paraId="1F84A7DA" w14:textId="77777777" w:rsidR="00C33357"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407FC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82B8A"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1B22B4"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0F1780"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5679D"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64C1E9"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FD33F" w14:textId="77777777" w:rsidR="00C33357" w:rsidRDefault="00000000">
            <w:pPr>
              <w:keepNext/>
              <w:keepLines/>
              <w:spacing w:after="0" w:line="240" w:lineRule="auto"/>
              <w:jc w:val="center"/>
            </w:pPr>
            <w:r>
              <w:rPr>
                <w:b/>
                <w:sz w:val="18"/>
              </w:rPr>
              <w:t>Indeks (%)</w:t>
            </w:r>
          </w:p>
        </w:tc>
      </w:tr>
      <w:tr w:rsidR="00C33357" w14:paraId="20D1A5D3" w14:textId="77777777">
        <w:tblPrEx>
          <w:tblCellMar>
            <w:top w:w="0" w:type="dxa"/>
            <w:bottom w:w="0" w:type="dxa"/>
          </w:tblCellMar>
        </w:tblPrEx>
        <w:trPr>
          <w:cantSplit/>
          <w:trHeight w:val="560"/>
        </w:trPr>
        <w:tc>
          <w:tcPr>
            <w:tcW w:w="700" w:type="dxa"/>
            <w:tcMar>
              <w:top w:w="0" w:type="dxa"/>
              <w:bottom w:w="0" w:type="dxa"/>
            </w:tcMar>
            <w:vAlign w:val="center"/>
          </w:tcPr>
          <w:p w14:paraId="41668C02" w14:textId="77777777" w:rsidR="00C33357" w:rsidRDefault="00000000">
            <w:pPr>
              <w:keepNext/>
              <w:keepLines/>
              <w:spacing w:after="0" w:line="240" w:lineRule="auto"/>
            </w:pPr>
            <w:r>
              <w:rPr>
                <w:sz w:val="18"/>
              </w:rPr>
              <w:t>9661</w:t>
            </w:r>
          </w:p>
        </w:tc>
        <w:tc>
          <w:tcPr>
            <w:tcW w:w="3180" w:type="dxa"/>
            <w:tcMar>
              <w:top w:w="0" w:type="dxa"/>
              <w:bottom w:w="0" w:type="dxa"/>
            </w:tcMar>
            <w:vAlign w:val="center"/>
          </w:tcPr>
          <w:p w14:paraId="1615FC80" w14:textId="77777777" w:rsidR="00C33357" w:rsidRDefault="000000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648470D2" w14:textId="77777777" w:rsidR="00C33357" w:rsidRDefault="00000000">
            <w:pPr>
              <w:keepNext/>
              <w:keepLines/>
              <w:spacing w:after="0" w:line="240" w:lineRule="auto"/>
            </w:pPr>
            <w:r>
              <w:rPr>
                <w:sz w:val="18"/>
              </w:rPr>
              <w:t>9661</w:t>
            </w:r>
          </w:p>
        </w:tc>
        <w:tc>
          <w:tcPr>
            <w:tcW w:w="1860" w:type="dxa"/>
            <w:tcMar>
              <w:top w:w="0" w:type="dxa"/>
              <w:bottom w:w="0" w:type="dxa"/>
            </w:tcMar>
            <w:vAlign w:val="center"/>
          </w:tcPr>
          <w:p w14:paraId="47E91C94" w14:textId="77777777" w:rsidR="00C33357" w:rsidRDefault="00000000">
            <w:pPr>
              <w:keepNext/>
              <w:keepLines/>
              <w:spacing w:after="0" w:line="240" w:lineRule="auto"/>
              <w:jc w:val="right"/>
            </w:pPr>
            <w:r>
              <w:rPr>
                <w:sz w:val="18"/>
              </w:rPr>
              <w:t>208,00</w:t>
            </w:r>
          </w:p>
        </w:tc>
        <w:tc>
          <w:tcPr>
            <w:tcW w:w="1860" w:type="dxa"/>
            <w:tcMar>
              <w:top w:w="0" w:type="dxa"/>
              <w:bottom w:w="0" w:type="dxa"/>
            </w:tcMar>
            <w:vAlign w:val="center"/>
          </w:tcPr>
          <w:p w14:paraId="54FA3002" w14:textId="77777777" w:rsidR="00C33357" w:rsidRDefault="00000000">
            <w:pPr>
              <w:keepNext/>
              <w:keepLines/>
              <w:spacing w:after="0" w:line="240" w:lineRule="auto"/>
              <w:jc w:val="right"/>
            </w:pPr>
            <w:r>
              <w:rPr>
                <w:sz w:val="18"/>
              </w:rPr>
              <w:t>390,00</w:t>
            </w:r>
          </w:p>
        </w:tc>
        <w:tc>
          <w:tcPr>
            <w:tcW w:w="700" w:type="dxa"/>
            <w:tcMar>
              <w:top w:w="0" w:type="dxa"/>
              <w:bottom w:w="0" w:type="dxa"/>
            </w:tcMar>
            <w:vAlign w:val="center"/>
          </w:tcPr>
          <w:p w14:paraId="1D109931" w14:textId="77777777" w:rsidR="00C33357" w:rsidRDefault="00000000">
            <w:pPr>
              <w:keepNext/>
              <w:keepLines/>
              <w:spacing w:after="0" w:line="240" w:lineRule="auto"/>
              <w:jc w:val="right"/>
            </w:pPr>
            <w:r>
              <w:rPr>
                <w:sz w:val="18"/>
              </w:rPr>
              <w:t>187,5</w:t>
            </w:r>
          </w:p>
        </w:tc>
      </w:tr>
    </w:tbl>
    <w:p w14:paraId="25D34BE6" w14:textId="77777777" w:rsidR="00C33357" w:rsidRDefault="00C33357">
      <w:pPr>
        <w:spacing w:after="0"/>
      </w:pPr>
    </w:p>
    <w:p w14:paraId="36136B88" w14:textId="77777777" w:rsidR="00C33357" w:rsidRDefault="00000000">
      <w:pPr>
        <w:spacing w:line="240" w:lineRule="auto"/>
        <w:jc w:val="both"/>
      </w:pPr>
      <w:r>
        <w:t>Prihodi od učenika odnosno od plaćanja školske kuhinje učenika srednje škole.</w:t>
      </w:r>
    </w:p>
    <w:p w14:paraId="221103FE" w14:textId="77777777" w:rsidR="00C33357" w:rsidRDefault="00C33357"/>
    <w:p w14:paraId="01D2FAF9" w14:textId="77777777" w:rsidR="00C33357"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38F41A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F2D1D1"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67EA9D"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A04F8A"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85E6A"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EAD6F6"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4555AA" w14:textId="77777777" w:rsidR="00C33357" w:rsidRDefault="00000000">
            <w:pPr>
              <w:keepNext/>
              <w:keepLines/>
              <w:spacing w:after="0" w:line="240" w:lineRule="auto"/>
              <w:jc w:val="center"/>
            </w:pPr>
            <w:r>
              <w:rPr>
                <w:b/>
                <w:sz w:val="18"/>
              </w:rPr>
              <w:t>Indeks (%)</w:t>
            </w:r>
          </w:p>
        </w:tc>
      </w:tr>
      <w:tr w:rsidR="00C33357" w14:paraId="62E7864C" w14:textId="77777777">
        <w:tblPrEx>
          <w:tblCellMar>
            <w:top w:w="0" w:type="dxa"/>
            <w:bottom w:w="0" w:type="dxa"/>
          </w:tblCellMar>
        </w:tblPrEx>
        <w:trPr>
          <w:cantSplit/>
          <w:trHeight w:val="560"/>
        </w:trPr>
        <w:tc>
          <w:tcPr>
            <w:tcW w:w="700" w:type="dxa"/>
            <w:tcMar>
              <w:top w:w="0" w:type="dxa"/>
              <w:bottom w:w="0" w:type="dxa"/>
            </w:tcMar>
            <w:vAlign w:val="center"/>
          </w:tcPr>
          <w:p w14:paraId="07A49086" w14:textId="77777777" w:rsidR="00C33357" w:rsidRDefault="00000000">
            <w:pPr>
              <w:keepNext/>
              <w:keepLines/>
              <w:spacing w:after="0" w:line="240" w:lineRule="auto"/>
            </w:pPr>
            <w:r>
              <w:rPr>
                <w:sz w:val="18"/>
              </w:rPr>
              <w:t>421</w:t>
            </w:r>
          </w:p>
        </w:tc>
        <w:tc>
          <w:tcPr>
            <w:tcW w:w="3180" w:type="dxa"/>
            <w:tcMar>
              <w:top w:w="0" w:type="dxa"/>
              <w:bottom w:w="0" w:type="dxa"/>
            </w:tcMar>
            <w:vAlign w:val="center"/>
          </w:tcPr>
          <w:p w14:paraId="4F491F46" w14:textId="77777777" w:rsidR="00C33357"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43419BEB" w14:textId="77777777" w:rsidR="00C33357" w:rsidRDefault="00000000">
            <w:pPr>
              <w:keepNext/>
              <w:keepLines/>
              <w:spacing w:after="0" w:line="240" w:lineRule="auto"/>
            </w:pPr>
            <w:r>
              <w:rPr>
                <w:sz w:val="18"/>
              </w:rPr>
              <w:t>421</w:t>
            </w:r>
          </w:p>
        </w:tc>
        <w:tc>
          <w:tcPr>
            <w:tcW w:w="1860" w:type="dxa"/>
            <w:tcMar>
              <w:top w:w="0" w:type="dxa"/>
              <w:bottom w:w="0" w:type="dxa"/>
            </w:tcMar>
            <w:vAlign w:val="center"/>
          </w:tcPr>
          <w:p w14:paraId="470757E5" w14:textId="77777777" w:rsidR="00C33357" w:rsidRDefault="00000000">
            <w:pPr>
              <w:keepNext/>
              <w:keepLines/>
              <w:spacing w:after="0" w:line="240" w:lineRule="auto"/>
              <w:jc w:val="right"/>
            </w:pPr>
            <w:r>
              <w:rPr>
                <w:sz w:val="18"/>
              </w:rPr>
              <w:t>40.000,00</w:t>
            </w:r>
          </w:p>
        </w:tc>
        <w:tc>
          <w:tcPr>
            <w:tcW w:w="1860" w:type="dxa"/>
            <w:tcMar>
              <w:top w:w="0" w:type="dxa"/>
              <w:bottom w:w="0" w:type="dxa"/>
            </w:tcMar>
            <w:vAlign w:val="center"/>
          </w:tcPr>
          <w:p w14:paraId="7FC3B7A4" w14:textId="77777777" w:rsidR="00C33357" w:rsidRDefault="00000000">
            <w:pPr>
              <w:keepNext/>
              <w:keepLines/>
              <w:spacing w:after="0" w:line="240" w:lineRule="auto"/>
              <w:jc w:val="right"/>
            </w:pPr>
            <w:r>
              <w:rPr>
                <w:sz w:val="18"/>
              </w:rPr>
              <w:t>0,00</w:t>
            </w:r>
          </w:p>
        </w:tc>
        <w:tc>
          <w:tcPr>
            <w:tcW w:w="700" w:type="dxa"/>
            <w:tcMar>
              <w:top w:w="0" w:type="dxa"/>
              <w:bottom w:w="0" w:type="dxa"/>
            </w:tcMar>
            <w:vAlign w:val="center"/>
          </w:tcPr>
          <w:p w14:paraId="12690B69" w14:textId="77777777" w:rsidR="00C33357" w:rsidRDefault="00000000">
            <w:pPr>
              <w:keepNext/>
              <w:keepLines/>
              <w:spacing w:after="0" w:line="240" w:lineRule="auto"/>
              <w:jc w:val="right"/>
            </w:pPr>
            <w:r>
              <w:rPr>
                <w:sz w:val="18"/>
              </w:rPr>
              <w:t>0</w:t>
            </w:r>
          </w:p>
        </w:tc>
      </w:tr>
    </w:tbl>
    <w:p w14:paraId="6717F291" w14:textId="77777777" w:rsidR="00C33357" w:rsidRDefault="00C33357">
      <w:pPr>
        <w:spacing w:after="0"/>
      </w:pPr>
    </w:p>
    <w:p w14:paraId="1CC1802A" w14:textId="77777777" w:rsidR="00C33357" w:rsidRDefault="00000000">
      <w:pPr>
        <w:spacing w:line="240" w:lineRule="auto"/>
        <w:jc w:val="both"/>
      </w:pPr>
      <w:r>
        <w:t>Prethodne godine u istom razdoblju, obavljeno je bojanje školskih zidova, ove godine navedeni radovi nisu bili potrebni.</w:t>
      </w:r>
    </w:p>
    <w:p w14:paraId="465E9CC8" w14:textId="77777777" w:rsidR="00C33357" w:rsidRDefault="00C33357"/>
    <w:p w14:paraId="36B1701C" w14:textId="77777777" w:rsidR="00C33357"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7470D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26B8A3"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863694"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8C526"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02689"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33268B"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5A74FE" w14:textId="77777777" w:rsidR="00C33357" w:rsidRDefault="00000000">
            <w:pPr>
              <w:keepNext/>
              <w:keepLines/>
              <w:spacing w:after="0" w:line="240" w:lineRule="auto"/>
              <w:jc w:val="center"/>
            </w:pPr>
            <w:r>
              <w:rPr>
                <w:b/>
                <w:sz w:val="18"/>
              </w:rPr>
              <w:t>Indeks (%)</w:t>
            </w:r>
          </w:p>
        </w:tc>
      </w:tr>
      <w:tr w:rsidR="00C33357" w14:paraId="697DDE86" w14:textId="77777777">
        <w:tblPrEx>
          <w:tblCellMar>
            <w:top w:w="0" w:type="dxa"/>
            <w:bottom w:w="0" w:type="dxa"/>
          </w:tblCellMar>
        </w:tblPrEx>
        <w:trPr>
          <w:cantSplit/>
          <w:trHeight w:val="560"/>
        </w:trPr>
        <w:tc>
          <w:tcPr>
            <w:tcW w:w="700" w:type="dxa"/>
            <w:tcMar>
              <w:top w:w="0" w:type="dxa"/>
              <w:bottom w:w="0" w:type="dxa"/>
            </w:tcMar>
            <w:vAlign w:val="center"/>
          </w:tcPr>
          <w:p w14:paraId="2BE1211D" w14:textId="77777777" w:rsidR="00C33357" w:rsidRDefault="00000000">
            <w:pPr>
              <w:keepNext/>
              <w:keepLines/>
              <w:spacing w:after="0" w:line="240" w:lineRule="auto"/>
            </w:pPr>
            <w:r>
              <w:rPr>
                <w:sz w:val="18"/>
              </w:rPr>
              <w:t>4221</w:t>
            </w:r>
          </w:p>
        </w:tc>
        <w:tc>
          <w:tcPr>
            <w:tcW w:w="3180" w:type="dxa"/>
            <w:tcMar>
              <w:top w:w="0" w:type="dxa"/>
              <w:bottom w:w="0" w:type="dxa"/>
            </w:tcMar>
            <w:vAlign w:val="center"/>
          </w:tcPr>
          <w:p w14:paraId="76C02568" w14:textId="77777777" w:rsidR="00C33357"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467F8BF" w14:textId="77777777" w:rsidR="00C33357" w:rsidRDefault="00000000">
            <w:pPr>
              <w:keepNext/>
              <w:keepLines/>
              <w:spacing w:after="0" w:line="240" w:lineRule="auto"/>
            </w:pPr>
            <w:r>
              <w:rPr>
                <w:sz w:val="18"/>
              </w:rPr>
              <w:t>4221</w:t>
            </w:r>
          </w:p>
        </w:tc>
        <w:tc>
          <w:tcPr>
            <w:tcW w:w="1860" w:type="dxa"/>
            <w:tcMar>
              <w:top w:w="0" w:type="dxa"/>
              <w:bottom w:w="0" w:type="dxa"/>
            </w:tcMar>
            <w:vAlign w:val="center"/>
          </w:tcPr>
          <w:p w14:paraId="63BE9BDD" w14:textId="77777777" w:rsidR="00C33357" w:rsidRDefault="00000000">
            <w:pPr>
              <w:keepNext/>
              <w:keepLines/>
              <w:spacing w:after="0" w:line="240" w:lineRule="auto"/>
              <w:jc w:val="right"/>
            </w:pPr>
            <w:r>
              <w:rPr>
                <w:sz w:val="18"/>
              </w:rPr>
              <w:t>91.833,83</w:t>
            </w:r>
          </w:p>
        </w:tc>
        <w:tc>
          <w:tcPr>
            <w:tcW w:w="1860" w:type="dxa"/>
            <w:tcMar>
              <w:top w:w="0" w:type="dxa"/>
              <w:bottom w:w="0" w:type="dxa"/>
            </w:tcMar>
            <w:vAlign w:val="center"/>
          </w:tcPr>
          <w:p w14:paraId="226E5D61" w14:textId="77777777" w:rsidR="00C33357" w:rsidRDefault="00000000">
            <w:pPr>
              <w:keepNext/>
              <w:keepLines/>
              <w:spacing w:after="0" w:line="240" w:lineRule="auto"/>
              <w:jc w:val="right"/>
            </w:pPr>
            <w:r>
              <w:rPr>
                <w:sz w:val="18"/>
              </w:rPr>
              <w:t>8.217,50</w:t>
            </w:r>
          </w:p>
        </w:tc>
        <w:tc>
          <w:tcPr>
            <w:tcW w:w="700" w:type="dxa"/>
            <w:tcMar>
              <w:top w:w="0" w:type="dxa"/>
              <w:bottom w:w="0" w:type="dxa"/>
            </w:tcMar>
            <w:vAlign w:val="center"/>
          </w:tcPr>
          <w:p w14:paraId="7F0121E2" w14:textId="77777777" w:rsidR="00C33357" w:rsidRDefault="00000000">
            <w:pPr>
              <w:keepNext/>
              <w:keepLines/>
              <w:spacing w:after="0" w:line="240" w:lineRule="auto"/>
              <w:jc w:val="right"/>
            </w:pPr>
            <w:r>
              <w:rPr>
                <w:sz w:val="18"/>
              </w:rPr>
              <w:t>8,9</w:t>
            </w:r>
          </w:p>
        </w:tc>
      </w:tr>
    </w:tbl>
    <w:p w14:paraId="1CCEAB99" w14:textId="77777777" w:rsidR="00C33357" w:rsidRDefault="00C33357">
      <w:pPr>
        <w:spacing w:after="0"/>
      </w:pPr>
    </w:p>
    <w:p w14:paraId="3F99DC28" w14:textId="77777777" w:rsidR="00C33357" w:rsidRDefault="00000000">
      <w:pPr>
        <w:spacing w:line="240" w:lineRule="auto"/>
        <w:jc w:val="both"/>
      </w:pPr>
      <w:r>
        <w:t>U šest mjeseci 2025. godine kupljena je računalna oprema, odnosno monitori za upotrebu Centra, stoga su troškovi vrlo veliki u usporedbi sa istim razdobljem u prethodnoj godini.</w:t>
      </w:r>
    </w:p>
    <w:p w14:paraId="0C9FC0A1" w14:textId="77777777" w:rsidR="00C33357" w:rsidRDefault="00C33357"/>
    <w:p w14:paraId="67AD88A6" w14:textId="77777777" w:rsidR="00C33357"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30178A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602FEF"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1B9F52"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BBC8CF"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373A1"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47DDCC"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14D40B" w14:textId="77777777" w:rsidR="00C33357" w:rsidRDefault="00000000">
            <w:pPr>
              <w:keepNext/>
              <w:keepLines/>
              <w:spacing w:after="0" w:line="240" w:lineRule="auto"/>
              <w:jc w:val="center"/>
            </w:pPr>
            <w:r>
              <w:rPr>
                <w:b/>
                <w:sz w:val="18"/>
              </w:rPr>
              <w:t>Indeks (%)</w:t>
            </w:r>
          </w:p>
        </w:tc>
      </w:tr>
      <w:tr w:rsidR="00C33357" w14:paraId="70E5DF80" w14:textId="77777777">
        <w:tblPrEx>
          <w:tblCellMar>
            <w:top w:w="0" w:type="dxa"/>
            <w:bottom w:w="0" w:type="dxa"/>
          </w:tblCellMar>
        </w:tblPrEx>
        <w:trPr>
          <w:cantSplit/>
          <w:trHeight w:val="560"/>
        </w:trPr>
        <w:tc>
          <w:tcPr>
            <w:tcW w:w="700" w:type="dxa"/>
            <w:tcMar>
              <w:top w:w="0" w:type="dxa"/>
              <w:bottom w:w="0" w:type="dxa"/>
            </w:tcMar>
            <w:vAlign w:val="center"/>
          </w:tcPr>
          <w:p w14:paraId="1220AF5F" w14:textId="77777777" w:rsidR="00C33357" w:rsidRDefault="00000000">
            <w:pPr>
              <w:keepNext/>
              <w:keepLines/>
              <w:spacing w:after="0" w:line="240" w:lineRule="auto"/>
            </w:pPr>
            <w:r>
              <w:rPr>
                <w:sz w:val="18"/>
              </w:rPr>
              <w:t>451</w:t>
            </w:r>
          </w:p>
        </w:tc>
        <w:tc>
          <w:tcPr>
            <w:tcW w:w="3180" w:type="dxa"/>
            <w:tcMar>
              <w:top w:w="0" w:type="dxa"/>
              <w:bottom w:w="0" w:type="dxa"/>
            </w:tcMar>
            <w:vAlign w:val="center"/>
          </w:tcPr>
          <w:p w14:paraId="0AF4805E" w14:textId="77777777" w:rsidR="00C33357"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60ED5A1B" w14:textId="77777777" w:rsidR="00C33357" w:rsidRDefault="00000000">
            <w:pPr>
              <w:keepNext/>
              <w:keepLines/>
              <w:spacing w:after="0" w:line="240" w:lineRule="auto"/>
            </w:pPr>
            <w:r>
              <w:rPr>
                <w:sz w:val="18"/>
              </w:rPr>
              <w:t>451</w:t>
            </w:r>
          </w:p>
        </w:tc>
        <w:tc>
          <w:tcPr>
            <w:tcW w:w="1860" w:type="dxa"/>
            <w:tcMar>
              <w:top w:w="0" w:type="dxa"/>
              <w:bottom w:w="0" w:type="dxa"/>
            </w:tcMar>
            <w:vAlign w:val="center"/>
          </w:tcPr>
          <w:p w14:paraId="0CA6B459" w14:textId="77777777" w:rsidR="00C33357" w:rsidRDefault="00000000">
            <w:pPr>
              <w:keepNext/>
              <w:keepLines/>
              <w:spacing w:after="0" w:line="240" w:lineRule="auto"/>
              <w:jc w:val="right"/>
            </w:pPr>
            <w:r>
              <w:rPr>
                <w:sz w:val="18"/>
              </w:rPr>
              <w:t>2.757,50</w:t>
            </w:r>
          </w:p>
        </w:tc>
        <w:tc>
          <w:tcPr>
            <w:tcW w:w="1860" w:type="dxa"/>
            <w:tcMar>
              <w:top w:w="0" w:type="dxa"/>
              <w:bottom w:w="0" w:type="dxa"/>
            </w:tcMar>
            <w:vAlign w:val="center"/>
          </w:tcPr>
          <w:p w14:paraId="72617B71" w14:textId="77777777" w:rsidR="00C33357" w:rsidRDefault="00000000">
            <w:pPr>
              <w:keepNext/>
              <w:keepLines/>
              <w:spacing w:after="0" w:line="240" w:lineRule="auto"/>
              <w:jc w:val="right"/>
            </w:pPr>
            <w:r>
              <w:rPr>
                <w:sz w:val="18"/>
              </w:rPr>
              <w:t>3.520,78</w:t>
            </w:r>
          </w:p>
        </w:tc>
        <w:tc>
          <w:tcPr>
            <w:tcW w:w="700" w:type="dxa"/>
            <w:tcMar>
              <w:top w:w="0" w:type="dxa"/>
              <w:bottom w:w="0" w:type="dxa"/>
            </w:tcMar>
            <w:vAlign w:val="center"/>
          </w:tcPr>
          <w:p w14:paraId="20C99856" w14:textId="77777777" w:rsidR="00C33357" w:rsidRDefault="00000000">
            <w:pPr>
              <w:keepNext/>
              <w:keepLines/>
              <w:spacing w:after="0" w:line="240" w:lineRule="auto"/>
              <w:jc w:val="right"/>
            </w:pPr>
            <w:r>
              <w:rPr>
                <w:sz w:val="18"/>
              </w:rPr>
              <w:t>127,7</w:t>
            </w:r>
          </w:p>
        </w:tc>
      </w:tr>
    </w:tbl>
    <w:p w14:paraId="3DBC1D8C" w14:textId="77777777" w:rsidR="00C33357" w:rsidRDefault="00C33357">
      <w:pPr>
        <w:spacing w:after="0"/>
      </w:pPr>
    </w:p>
    <w:p w14:paraId="74C65B00" w14:textId="77777777" w:rsidR="00C33357" w:rsidRDefault="00000000">
      <w:pPr>
        <w:spacing w:line="240" w:lineRule="auto"/>
        <w:jc w:val="both"/>
      </w:pPr>
      <w:r>
        <w:t>U početku 2025. godine, uloženo je u izmjenu stolarije na građevinskim objektima Centra te u kupnju sigurnosne opreme (kamera, digitalno otključavanje). Utrošeno je 27,7 % više nego u istom razdoblju prethodne godine.</w:t>
      </w:r>
    </w:p>
    <w:p w14:paraId="789DF25A" w14:textId="77777777" w:rsidR="00C33357" w:rsidRDefault="00C33357"/>
    <w:p w14:paraId="5E676180" w14:textId="77777777" w:rsidR="00C33357"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28D8B5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14609D"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CB3D35"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7C963"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F5981B"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D9260A"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952C7E" w14:textId="77777777" w:rsidR="00C33357" w:rsidRDefault="00000000">
            <w:pPr>
              <w:keepNext/>
              <w:keepLines/>
              <w:spacing w:after="0" w:line="240" w:lineRule="auto"/>
              <w:jc w:val="center"/>
            </w:pPr>
            <w:r>
              <w:rPr>
                <w:b/>
                <w:sz w:val="18"/>
              </w:rPr>
              <w:t>Indeks (%)</w:t>
            </w:r>
          </w:p>
        </w:tc>
      </w:tr>
      <w:tr w:rsidR="00C33357" w14:paraId="1B207462" w14:textId="77777777">
        <w:tblPrEx>
          <w:tblCellMar>
            <w:top w:w="0" w:type="dxa"/>
            <w:bottom w:w="0" w:type="dxa"/>
          </w:tblCellMar>
        </w:tblPrEx>
        <w:trPr>
          <w:cantSplit/>
          <w:trHeight w:val="560"/>
        </w:trPr>
        <w:tc>
          <w:tcPr>
            <w:tcW w:w="700" w:type="dxa"/>
            <w:tcMar>
              <w:top w:w="0" w:type="dxa"/>
              <w:bottom w:w="0" w:type="dxa"/>
            </w:tcMar>
            <w:vAlign w:val="center"/>
          </w:tcPr>
          <w:p w14:paraId="1CC9968E" w14:textId="77777777" w:rsidR="00C33357" w:rsidRDefault="00C33357">
            <w:pPr>
              <w:keepNext/>
              <w:keepLines/>
              <w:spacing w:after="0" w:line="240" w:lineRule="auto"/>
            </w:pPr>
          </w:p>
        </w:tc>
        <w:tc>
          <w:tcPr>
            <w:tcW w:w="3180" w:type="dxa"/>
            <w:tcMar>
              <w:top w:w="0" w:type="dxa"/>
              <w:bottom w:w="0" w:type="dxa"/>
            </w:tcMar>
            <w:vAlign w:val="center"/>
          </w:tcPr>
          <w:p w14:paraId="7CA1868C" w14:textId="77777777" w:rsidR="00C33357"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5BB39534" w14:textId="77777777" w:rsidR="00C33357" w:rsidRDefault="00000000">
            <w:pPr>
              <w:keepNext/>
              <w:keepLines/>
              <w:spacing w:after="0" w:line="240" w:lineRule="auto"/>
            </w:pPr>
            <w:r>
              <w:rPr>
                <w:sz w:val="18"/>
              </w:rPr>
              <w:t>Y006</w:t>
            </w:r>
          </w:p>
        </w:tc>
        <w:tc>
          <w:tcPr>
            <w:tcW w:w="1860" w:type="dxa"/>
            <w:tcMar>
              <w:top w:w="0" w:type="dxa"/>
              <w:bottom w:w="0" w:type="dxa"/>
            </w:tcMar>
            <w:vAlign w:val="center"/>
          </w:tcPr>
          <w:p w14:paraId="136FDEE9" w14:textId="77777777" w:rsidR="00C33357" w:rsidRDefault="00000000">
            <w:pPr>
              <w:keepNext/>
              <w:keepLines/>
              <w:spacing w:after="0" w:line="240" w:lineRule="auto"/>
              <w:jc w:val="right"/>
            </w:pPr>
            <w:r>
              <w:rPr>
                <w:sz w:val="18"/>
              </w:rPr>
              <w:t>0,00</w:t>
            </w:r>
          </w:p>
        </w:tc>
        <w:tc>
          <w:tcPr>
            <w:tcW w:w="1860" w:type="dxa"/>
            <w:tcMar>
              <w:top w:w="0" w:type="dxa"/>
              <w:bottom w:w="0" w:type="dxa"/>
            </w:tcMar>
            <w:vAlign w:val="center"/>
          </w:tcPr>
          <w:p w14:paraId="45C73D27" w14:textId="77777777" w:rsidR="00C33357" w:rsidRDefault="00000000">
            <w:pPr>
              <w:keepNext/>
              <w:keepLines/>
              <w:spacing w:after="0" w:line="240" w:lineRule="auto"/>
              <w:jc w:val="right"/>
            </w:pPr>
            <w:r>
              <w:rPr>
                <w:sz w:val="18"/>
              </w:rPr>
              <w:t>130.221,26</w:t>
            </w:r>
          </w:p>
        </w:tc>
        <w:tc>
          <w:tcPr>
            <w:tcW w:w="700" w:type="dxa"/>
            <w:tcMar>
              <w:top w:w="0" w:type="dxa"/>
              <w:bottom w:w="0" w:type="dxa"/>
            </w:tcMar>
            <w:vAlign w:val="center"/>
          </w:tcPr>
          <w:p w14:paraId="0781D6F7" w14:textId="77777777" w:rsidR="00C33357" w:rsidRDefault="00000000">
            <w:pPr>
              <w:keepNext/>
              <w:keepLines/>
              <w:spacing w:after="0" w:line="240" w:lineRule="auto"/>
              <w:jc w:val="right"/>
            </w:pPr>
            <w:r>
              <w:rPr>
                <w:sz w:val="18"/>
              </w:rPr>
              <w:t>-</w:t>
            </w:r>
          </w:p>
        </w:tc>
      </w:tr>
    </w:tbl>
    <w:p w14:paraId="471DA559" w14:textId="77777777" w:rsidR="00C33357" w:rsidRDefault="00C33357">
      <w:pPr>
        <w:spacing w:after="0"/>
      </w:pPr>
    </w:p>
    <w:p w14:paraId="575D27B0" w14:textId="77777777" w:rsidR="00C33357" w:rsidRDefault="00000000">
      <w:pPr>
        <w:spacing w:line="240" w:lineRule="auto"/>
        <w:jc w:val="both"/>
      </w:pPr>
      <w:r>
        <w:t>U šest mjeseci 2025. godine, prikazan je manjak od 130.221,26 eura radi obračuna plaće koja će biti isplaćena u srpnju. U financijski izvještaj ušle je i plaća za lipanj jer se promjenom Pravilnika o proračunskom računovodstvu, promijenilo knjiženje, plaća za lipanj se ne knjiži na 19 – rashodi budućih razdoblja i nedospjela naplata prihoda, već se evidentira kao rashod poslovanja i ulazi ukupno izvješće za navedeno razdoblje.</w:t>
      </w:r>
    </w:p>
    <w:p w14:paraId="2BC87B68" w14:textId="77777777" w:rsidR="00C33357" w:rsidRDefault="00C33357"/>
    <w:p w14:paraId="453310E9" w14:textId="77777777" w:rsidR="00C33357"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6BE304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1C8319"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DE48BA"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98B799"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852FA"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243E53"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77D996" w14:textId="77777777" w:rsidR="00C33357" w:rsidRDefault="00000000">
            <w:pPr>
              <w:keepNext/>
              <w:keepLines/>
              <w:spacing w:after="0" w:line="240" w:lineRule="auto"/>
              <w:jc w:val="center"/>
            </w:pPr>
            <w:r>
              <w:rPr>
                <w:b/>
                <w:sz w:val="18"/>
              </w:rPr>
              <w:t>Indeks (%)</w:t>
            </w:r>
          </w:p>
        </w:tc>
      </w:tr>
      <w:tr w:rsidR="00C33357" w14:paraId="56AAE390" w14:textId="77777777">
        <w:tblPrEx>
          <w:tblCellMar>
            <w:top w:w="0" w:type="dxa"/>
            <w:bottom w:w="0" w:type="dxa"/>
          </w:tblCellMar>
        </w:tblPrEx>
        <w:trPr>
          <w:cantSplit/>
          <w:trHeight w:val="560"/>
        </w:trPr>
        <w:tc>
          <w:tcPr>
            <w:tcW w:w="700" w:type="dxa"/>
            <w:tcMar>
              <w:top w:w="0" w:type="dxa"/>
              <w:bottom w:w="0" w:type="dxa"/>
            </w:tcMar>
            <w:vAlign w:val="center"/>
          </w:tcPr>
          <w:p w14:paraId="7F2C534E" w14:textId="77777777" w:rsidR="00C33357" w:rsidRDefault="00000000">
            <w:pPr>
              <w:keepNext/>
              <w:keepLines/>
              <w:spacing w:after="0" w:line="240" w:lineRule="auto"/>
            </w:pPr>
            <w:r>
              <w:rPr>
                <w:sz w:val="18"/>
              </w:rPr>
              <w:t>63612</w:t>
            </w:r>
          </w:p>
        </w:tc>
        <w:tc>
          <w:tcPr>
            <w:tcW w:w="3180" w:type="dxa"/>
            <w:tcMar>
              <w:top w:w="0" w:type="dxa"/>
              <w:bottom w:w="0" w:type="dxa"/>
            </w:tcMar>
            <w:vAlign w:val="center"/>
          </w:tcPr>
          <w:p w14:paraId="6284D597" w14:textId="77777777" w:rsidR="00C33357"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1D02DE3F" w14:textId="77777777" w:rsidR="00C33357" w:rsidRDefault="00000000">
            <w:pPr>
              <w:keepNext/>
              <w:keepLines/>
              <w:spacing w:after="0" w:line="240" w:lineRule="auto"/>
            </w:pPr>
            <w:r>
              <w:rPr>
                <w:sz w:val="18"/>
              </w:rPr>
              <w:t>63612</w:t>
            </w:r>
          </w:p>
        </w:tc>
        <w:tc>
          <w:tcPr>
            <w:tcW w:w="1860" w:type="dxa"/>
            <w:tcMar>
              <w:top w:w="0" w:type="dxa"/>
              <w:bottom w:w="0" w:type="dxa"/>
            </w:tcMar>
            <w:vAlign w:val="center"/>
          </w:tcPr>
          <w:p w14:paraId="1214C8F1" w14:textId="77777777" w:rsidR="00C33357" w:rsidRDefault="00000000">
            <w:pPr>
              <w:keepNext/>
              <w:keepLines/>
              <w:spacing w:after="0" w:line="240" w:lineRule="auto"/>
              <w:jc w:val="right"/>
            </w:pPr>
            <w:r>
              <w:rPr>
                <w:sz w:val="18"/>
              </w:rPr>
              <w:t>1.025.300,85</w:t>
            </w:r>
          </w:p>
        </w:tc>
        <w:tc>
          <w:tcPr>
            <w:tcW w:w="1860" w:type="dxa"/>
            <w:tcMar>
              <w:top w:w="0" w:type="dxa"/>
              <w:bottom w:w="0" w:type="dxa"/>
            </w:tcMar>
            <w:vAlign w:val="center"/>
          </w:tcPr>
          <w:p w14:paraId="426D85EA" w14:textId="77777777" w:rsidR="00C33357" w:rsidRDefault="00000000">
            <w:pPr>
              <w:keepNext/>
              <w:keepLines/>
              <w:spacing w:after="0" w:line="240" w:lineRule="auto"/>
              <w:jc w:val="right"/>
            </w:pPr>
            <w:r>
              <w:rPr>
                <w:sz w:val="18"/>
              </w:rPr>
              <w:t>1.180.957,34</w:t>
            </w:r>
          </w:p>
        </w:tc>
        <w:tc>
          <w:tcPr>
            <w:tcW w:w="700" w:type="dxa"/>
            <w:tcMar>
              <w:top w:w="0" w:type="dxa"/>
              <w:bottom w:w="0" w:type="dxa"/>
            </w:tcMar>
            <w:vAlign w:val="center"/>
          </w:tcPr>
          <w:p w14:paraId="7EB73CF8" w14:textId="77777777" w:rsidR="00C33357" w:rsidRDefault="00000000">
            <w:pPr>
              <w:keepNext/>
              <w:keepLines/>
              <w:spacing w:after="0" w:line="240" w:lineRule="auto"/>
              <w:jc w:val="right"/>
            </w:pPr>
            <w:r>
              <w:rPr>
                <w:sz w:val="18"/>
              </w:rPr>
              <w:t>115,2</w:t>
            </w:r>
          </w:p>
        </w:tc>
      </w:tr>
    </w:tbl>
    <w:p w14:paraId="74E8F3AF" w14:textId="77777777" w:rsidR="00C33357" w:rsidRDefault="00C33357">
      <w:pPr>
        <w:spacing w:after="0"/>
      </w:pPr>
    </w:p>
    <w:p w14:paraId="27D981C1" w14:textId="77777777" w:rsidR="00C33357" w:rsidRDefault="00000000">
      <w:pPr>
        <w:spacing w:line="240" w:lineRule="auto"/>
        <w:jc w:val="both"/>
      </w:pPr>
      <w:r>
        <w:t>Ovdje bilježimo porast prihoda radi povećanja troškova plaća, materijalnih prava, sredstva za besplatni topli obrok te uplata za prijevoz učenika s teškoćama od Ministarstva.</w:t>
      </w:r>
    </w:p>
    <w:p w14:paraId="5E538248" w14:textId="77777777" w:rsidR="00C33357" w:rsidRDefault="00C33357"/>
    <w:p w14:paraId="44B9F4B3" w14:textId="77777777" w:rsidR="00C33357"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33357" w14:paraId="06BEC0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D4A20"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4171F6"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BDB705"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230DB1" w14:textId="77777777" w:rsidR="00C3335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D0EEBB" w14:textId="77777777" w:rsidR="00C3335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6354F3" w14:textId="77777777" w:rsidR="00C33357" w:rsidRDefault="00000000">
            <w:pPr>
              <w:keepNext/>
              <w:keepLines/>
              <w:spacing w:after="0" w:line="240" w:lineRule="auto"/>
              <w:jc w:val="center"/>
            </w:pPr>
            <w:r>
              <w:rPr>
                <w:b/>
                <w:sz w:val="18"/>
              </w:rPr>
              <w:t>Indeks (%)</w:t>
            </w:r>
          </w:p>
        </w:tc>
      </w:tr>
      <w:tr w:rsidR="00C33357" w14:paraId="68042FEE" w14:textId="77777777">
        <w:tblPrEx>
          <w:tblCellMar>
            <w:top w:w="0" w:type="dxa"/>
            <w:bottom w:w="0" w:type="dxa"/>
          </w:tblCellMar>
        </w:tblPrEx>
        <w:trPr>
          <w:cantSplit/>
          <w:trHeight w:val="560"/>
        </w:trPr>
        <w:tc>
          <w:tcPr>
            <w:tcW w:w="700" w:type="dxa"/>
            <w:tcMar>
              <w:top w:w="0" w:type="dxa"/>
              <w:bottom w:w="0" w:type="dxa"/>
            </w:tcMar>
            <w:vAlign w:val="center"/>
          </w:tcPr>
          <w:p w14:paraId="5ED98689" w14:textId="77777777" w:rsidR="00C33357" w:rsidRDefault="00000000">
            <w:pPr>
              <w:keepNext/>
              <w:keepLines/>
              <w:spacing w:after="0" w:line="240" w:lineRule="auto"/>
            </w:pPr>
            <w:r>
              <w:rPr>
                <w:sz w:val="18"/>
              </w:rPr>
              <w:t>63622</w:t>
            </w:r>
          </w:p>
        </w:tc>
        <w:tc>
          <w:tcPr>
            <w:tcW w:w="3180" w:type="dxa"/>
            <w:tcMar>
              <w:top w:w="0" w:type="dxa"/>
              <w:bottom w:w="0" w:type="dxa"/>
            </w:tcMar>
            <w:vAlign w:val="center"/>
          </w:tcPr>
          <w:p w14:paraId="5A0B263C" w14:textId="77777777" w:rsidR="00C33357" w:rsidRDefault="00000000">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14:paraId="78C6BE49" w14:textId="77777777" w:rsidR="00C33357" w:rsidRDefault="00000000">
            <w:pPr>
              <w:keepNext/>
              <w:keepLines/>
              <w:spacing w:after="0" w:line="240" w:lineRule="auto"/>
            </w:pPr>
            <w:r>
              <w:rPr>
                <w:sz w:val="18"/>
              </w:rPr>
              <w:t>63622</w:t>
            </w:r>
          </w:p>
        </w:tc>
        <w:tc>
          <w:tcPr>
            <w:tcW w:w="1860" w:type="dxa"/>
            <w:tcMar>
              <w:top w:w="0" w:type="dxa"/>
              <w:bottom w:w="0" w:type="dxa"/>
            </w:tcMar>
            <w:vAlign w:val="center"/>
          </w:tcPr>
          <w:p w14:paraId="7B7EE556" w14:textId="77777777" w:rsidR="00C33357" w:rsidRDefault="00000000">
            <w:pPr>
              <w:keepNext/>
              <w:keepLines/>
              <w:spacing w:after="0" w:line="240" w:lineRule="auto"/>
              <w:jc w:val="right"/>
            </w:pPr>
            <w:r>
              <w:rPr>
                <w:sz w:val="18"/>
              </w:rPr>
              <w:t>0,00</w:t>
            </w:r>
          </w:p>
        </w:tc>
        <w:tc>
          <w:tcPr>
            <w:tcW w:w="1860" w:type="dxa"/>
            <w:tcMar>
              <w:top w:w="0" w:type="dxa"/>
              <w:bottom w:w="0" w:type="dxa"/>
            </w:tcMar>
            <w:vAlign w:val="center"/>
          </w:tcPr>
          <w:p w14:paraId="4E3106F5" w14:textId="77777777" w:rsidR="00C33357" w:rsidRDefault="00000000">
            <w:pPr>
              <w:keepNext/>
              <w:keepLines/>
              <w:spacing w:after="0" w:line="240" w:lineRule="auto"/>
              <w:jc w:val="right"/>
            </w:pPr>
            <w:r>
              <w:rPr>
                <w:sz w:val="18"/>
              </w:rPr>
              <w:t>50,37</w:t>
            </w:r>
          </w:p>
        </w:tc>
        <w:tc>
          <w:tcPr>
            <w:tcW w:w="700" w:type="dxa"/>
            <w:tcMar>
              <w:top w:w="0" w:type="dxa"/>
              <w:bottom w:w="0" w:type="dxa"/>
            </w:tcMar>
            <w:vAlign w:val="center"/>
          </w:tcPr>
          <w:p w14:paraId="49E4C270" w14:textId="77777777" w:rsidR="00C33357" w:rsidRDefault="00000000">
            <w:pPr>
              <w:keepNext/>
              <w:keepLines/>
              <w:spacing w:after="0" w:line="240" w:lineRule="auto"/>
              <w:jc w:val="right"/>
            </w:pPr>
            <w:r>
              <w:rPr>
                <w:sz w:val="18"/>
              </w:rPr>
              <w:t>-</w:t>
            </w:r>
          </w:p>
        </w:tc>
      </w:tr>
    </w:tbl>
    <w:p w14:paraId="03AFB739" w14:textId="77777777" w:rsidR="00C33357" w:rsidRDefault="00C33357">
      <w:pPr>
        <w:spacing w:after="0"/>
      </w:pPr>
    </w:p>
    <w:p w14:paraId="0714BF8E" w14:textId="77777777" w:rsidR="00C33357" w:rsidRDefault="00000000">
      <w:pPr>
        <w:spacing w:line="240" w:lineRule="auto"/>
        <w:jc w:val="both"/>
      </w:pPr>
      <w:r>
        <w:t>Sredstva doznačena tijekom školske godine radi kupnje udžbenika za novog učenika.</w:t>
      </w:r>
    </w:p>
    <w:p w14:paraId="420566C1" w14:textId="77777777" w:rsidR="00C33357" w:rsidRDefault="00C33357"/>
    <w:p w14:paraId="6443CE7B" w14:textId="77777777" w:rsidR="00C33357" w:rsidRDefault="00000000">
      <w:pPr>
        <w:keepNext/>
        <w:spacing w:line="240" w:lineRule="auto"/>
        <w:jc w:val="center"/>
      </w:pPr>
      <w:r>
        <w:rPr>
          <w:b/>
          <w:sz w:val="28"/>
        </w:rPr>
        <w:lastRenderedPageBreak/>
        <w:t>Izvještaj o obvezama</w:t>
      </w:r>
    </w:p>
    <w:p w14:paraId="185532C2" w14:textId="77777777" w:rsidR="00C33357"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33357" w14:paraId="04FD60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8E970"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702090"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9E1AF7"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D49E0" w14:textId="77777777" w:rsidR="00C3335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87EF8B" w14:textId="77777777" w:rsidR="00C33357" w:rsidRDefault="00000000">
            <w:pPr>
              <w:keepNext/>
              <w:keepLines/>
              <w:spacing w:after="0" w:line="240" w:lineRule="auto"/>
              <w:jc w:val="center"/>
            </w:pPr>
            <w:r>
              <w:rPr>
                <w:b/>
                <w:sz w:val="18"/>
              </w:rPr>
              <w:t>Indeks (%)</w:t>
            </w:r>
          </w:p>
        </w:tc>
      </w:tr>
      <w:tr w:rsidR="00C33357" w14:paraId="322AC69C" w14:textId="77777777">
        <w:tblPrEx>
          <w:tblCellMar>
            <w:top w:w="0" w:type="dxa"/>
            <w:bottom w:w="0" w:type="dxa"/>
          </w:tblCellMar>
        </w:tblPrEx>
        <w:trPr>
          <w:cantSplit/>
          <w:trHeight w:val="560"/>
        </w:trPr>
        <w:tc>
          <w:tcPr>
            <w:tcW w:w="700" w:type="dxa"/>
            <w:tcMar>
              <w:top w:w="0" w:type="dxa"/>
              <w:bottom w:w="0" w:type="dxa"/>
            </w:tcMar>
            <w:vAlign w:val="center"/>
          </w:tcPr>
          <w:p w14:paraId="07780A0C" w14:textId="77777777" w:rsidR="00C33357" w:rsidRDefault="00C33357">
            <w:pPr>
              <w:keepNext/>
              <w:keepLines/>
              <w:spacing w:after="0" w:line="240" w:lineRule="auto"/>
            </w:pPr>
          </w:p>
        </w:tc>
        <w:tc>
          <w:tcPr>
            <w:tcW w:w="3180" w:type="dxa"/>
            <w:tcMar>
              <w:top w:w="0" w:type="dxa"/>
              <w:bottom w:w="0" w:type="dxa"/>
            </w:tcMar>
            <w:vAlign w:val="center"/>
          </w:tcPr>
          <w:p w14:paraId="232612DA" w14:textId="77777777" w:rsidR="00C3335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6ADFA48" w14:textId="77777777" w:rsidR="00C33357" w:rsidRDefault="00000000">
            <w:pPr>
              <w:keepNext/>
              <w:keepLines/>
              <w:spacing w:after="0" w:line="240" w:lineRule="auto"/>
            </w:pPr>
            <w:r>
              <w:rPr>
                <w:sz w:val="18"/>
              </w:rPr>
              <w:t>V007</w:t>
            </w:r>
          </w:p>
        </w:tc>
        <w:tc>
          <w:tcPr>
            <w:tcW w:w="1860" w:type="dxa"/>
            <w:tcMar>
              <w:top w:w="0" w:type="dxa"/>
              <w:bottom w:w="0" w:type="dxa"/>
            </w:tcMar>
            <w:vAlign w:val="center"/>
          </w:tcPr>
          <w:p w14:paraId="5B6761C3" w14:textId="77777777" w:rsidR="00C33357" w:rsidRDefault="00000000">
            <w:pPr>
              <w:keepNext/>
              <w:keepLines/>
              <w:spacing w:after="0" w:line="240" w:lineRule="auto"/>
              <w:jc w:val="right"/>
            </w:pPr>
            <w:r>
              <w:rPr>
                <w:sz w:val="18"/>
              </w:rPr>
              <w:t>0,00</w:t>
            </w:r>
          </w:p>
        </w:tc>
        <w:tc>
          <w:tcPr>
            <w:tcW w:w="700" w:type="dxa"/>
            <w:tcMar>
              <w:top w:w="0" w:type="dxa"/>
              <w:bottom w:w="0" w:type="dxa"/>
            </w:tcMar>
            <w:vAlign w:val="center"/>
          </w:tcPr>
          <w:p w14:paraId="281E6C3A" w14:textId="77777777" w:rsidR="00C33357" w:rsidRDefault="00000000">
            <w:pPr>
              <w:keepNext/>
              <w:keepLines/>
              <w:spacing w:after="0" w:line="240" w:lineRule="auto"/>
              <w:jc w:val="right"/>
            </w:pPr>
            <w:r>
              <w:rPr>
                <w:sz w:val="18"/>
              </w:rPr>
              <w:t>-</w:t>
            </w:r>
          </w:p>
        </w:tc>
      </w:tr>
    </w:tbl>
    <w:p w14:paraId="2E122AD6" w14:textId="77777777" w:rsidR="00C33357" w:rsidRDefault="00C33357">
      <w:pPr>
        <w:spacing w:after="0"/>
      </w:pPr>
    </w:p>
    <w:p w14:paraId="0A021742" w14:textId="77777777" w:rsidR="00C33357" w:rsidRDefault="00000000">
      <w:pPr>
        <w:spacing w:line="240" w:lineRule="auto"/>
        <w:jc w:val="both"/>
      </w:pPr>
      <w:r>
        <w:t>Na kraju šestomjesečnog razdoblja, Centar nema dospjele obveze jer su sve plaćene prema rokovima navedenim za plaćanje.</w:t>
      </w:r>
    </w:p>
    <w:p w14:paraId="0D42E558" w14:textId="77777777" w:rsidR="00C33357" w:rsidRDefault="00C33357"/>
    <w:p w14:paraId="5A651471" w14:textId="77777777" w:rsidR="00C33357"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33357" w14:paraId="1AD4F7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CE2B15" w14:textId="77777777" w:rsidR="00C33357"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57C461" w14:textId="77777777" w:rsidR="00C3335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5B1E7" w14:textId="77777777" w:rsidR="00C3335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56BDA4" w14:textId="77777777" w:rsidR="00C3335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B60470" w14:textId="77777777" w:rsidR="00C33357" w:rsidRDefault="00000000">
            <w:pPr>
              <w:keepNext/>
              <w:keepLines/>
              <w:spacing w:after="0" w:line="240" w:lineRule="auto"/>
              <w:jc w:val="center"/>
            </w:pPr>
            <w:r>
              <w:rPr>
                <w:b/>
                <w:sz w:val="18"/>
              </w:rPr>
              <w:t>Indeks (%)</w:t>
            </w:r>
          </w:p>
        </w:tc>
      </w:tr>
      <w:tr w:rsidR="00C33357" w14:paraId="2498EBA4" w14:textId="77777777">
        <w:tblPrEx>
          <w:tblCellMar>
            <w:top w:w="0" w:type="dxa"/>
            <w:bottom w:w="0" w:type="dxa"/>
          </w:tblCellMar>
        </w:tblPrEx>
        <w:trPr>
          <w:cantSplit/>
          <w:trHeight w:val="560"/>
        </w:trPr>
        <w:tc>
          <w:tcPr>
            <w:tcW w:w="700" w:type="dxa"/>
            <w:tcMar>
              <w:top w:w="0" w:type="dxa"/>
              <w:bottom w:w="0" w:type="dxa"/>
            </w:tcMar>
            <w:vAlign w:val="center"/>
          </w:tcPr>
          <w:p w14:paraId="772AE020" w14:textId="77777777" w:rsidR="00C33357" w:rsidRDefault="00C33357">
            <w:pPr>
              <w:keepNext/>
              <w:keepLines/>
              <w:spacing w:after="0" w:line="240" w:lineRule="auto"/>
            </w:pPr>
          </w:p>
        </w:tc>
        <w:tc>
          <w:tcPr>
            <w:tcW w:w="3180" w:type="dxa"/>
            <w:tcMar>
              <w:top w:w="0" w:type="dxa"/>
              <w:bottom w:w="0" w:type="dxa"/>
            </w:tcMar>
            <w:vAlign w:val="center"/>
          </w:tcPr>
          <w:p w14:paraId="42E51307" w14:textId="77777777" w:rsidR="00C33357"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917C07E" w14:textId="77777777" w:rsidR="00C33357" w:rsidRDefault="00000000">
            <w:pPr>
              <w:keepNext/>
              <w:keepLines/>
              <w:spacing w:after="0" w:line="240" w:lineRule="auto"/>
            </w:pPr>
            <w:r>
              <w:rPr>
                <w:sz w:val="18"/>
              </w:rPr>
              <w:t>V009</w:t>
            </w:r>
          </w:p>
        </w:tc>
        <w:tc>
          <w:tcPr>
            <w:tcW w:w="1860" w:type="dxa"/>
            <w:tcMar>
              <w:top w:w="0" w:type="dxa"/>
              <w:bottom w:w="0" w:type="dxa"/>
            </w:tcMar>
            <w:vAlign w:val="center"/>
          </w:tcPr>
          <w:p w14:paraId="4F409084" w14:textId="77777777" w:rsidR="00C33357" w:rsidRDefault="00000000">
            <w:pPr>
              <w:keepNext/>
              <w:keepLines/>
              <w:spacing w:after="0" w:line="240" w:lineRule="auto"/>
              <w:jc w:val="right"/>
            </w:pPr>
            <w:r>
              <w:rPr>
                <w:sz w:val="18"/>
              </w:rPr>
              <w:t>194.082,52</w:t>
            </w:r>
          </w:p>
        </w:tc>
        <w:tc>
          <w:tcPr>
            <w:tcW w:w="700" w:type="dxa"/>
            <w:tcMar>
              <w:top w:w="0" w:type="dxa"/>
              <w:bottom w:w="0" w:type="dxa"/>
            </w:tcMar>
            <w:vAlign w:val="center"/>
          </w:tcPr>
          <w:p w14:paraId="7AF5039F" w14:textId="77777777" w:rsidR="00C33357" w:rsidRDefault="00000000">
            <w:pPr>
              <w:keepNext/>
              <w:keepLines/>
              <w:spacing w:after="0" w:line="240" w:lineRule="auto"/>
              <w:jc w:val="right"/>
            </w:pPr>
            <w:r>
              <w:rPr>
                <w:sz w:val="18"/>
              </w:rPr>
              <w:t>-</w:t>
            </w:r>
          </w:p>
        </w:tc>
      </w:tr>
    </w:tbl>
    <w:p w14:paraId="1994B63E" w14:textId="77777777" w:rsidR="00C33357" w:rsidRDefault="00C33357">
      <w:pPr>
        <w:spacing w:after="0"/>
      </w:pPr>
    </w:p>
    <w:p w14:paraId="79201CD2" w14:textId="77777777" w:rsidR="00C33357" w:rsidRDefault="00000000">
      <w:pPr>
        <w:spacing w:line="240" w:lineRule="auto"/>
        <w:jc w:val="both"/>
      </w:pPr>
      <w:r>
        <w:t>Nedospjele obveze odnose se na plaće djelatnika te na račune čiji je datum dospijeća plaćanja u srpnju ili kolovozu.</w:t>
      </w:r>
    </w:p>
    <w:p w14:paraId="5FFE9C3F" w14:textId="77777777" w:rsidR="00C33357" w:rsidRDefault="00C33357"/>
    <w:sectPr w:rsidR="00C33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57"/>
    <w:rsid w:val="008276F7"/>
    <w:rsid w:val="00B13189"/>
    <w:rsid w:val="00C33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D5A6"/>
  <w15:docId w15:val="{E3008F81-E5DE-4A79-B10F-74E63946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Spomenka</dc:creator>
  <cp:lastModifiedBy>Ena Šipoš</cp:lastModifiedBy>
  <cp:revision>2</cp:revision>
  <dcterms:created xsi:type="dcterms:W3CDTF">2025-07-09T07:29:00Z</dcterms:created>
  <dcterms:modified xsi:type="dcterms:W3CDTF">2025-07-09T07:29:00Z</dcterms:modified>
</cp:coreProperties>
</file>